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1309"/>
        <w:ind w:left="284" w:right="140"/>
        <w:spacing w:before="0" w:after="0"/>
        <w:rPr>
          <w:b/>
          <w:bCs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1276"/>
        <w:ind w:firstLine="567"/>
        <w:jc w:val="center"/>
        <w:tabs>
          <w:tab w:val="left" w:pos="142" w:leader="none"/>
          <w:tab w:val="center" w:pos="1134" w:leader="none"/>
        </w:tabs>
        <w:rPr>
          <w:b/>
          <w:i/>
          <w:sz w:val="28"/>
          <w:szCs w:val="28"/>
        </w:rPr>
        <w:outlineLvl w:val="0"/>
      </w:pPr>
      <w:r>
        <w:rPr>
          <w:b/>
          <w:i/>
          <w:sz w:val="28"/>
          <w:szCs w:val="28"/>
        </w:rPr>
        <w:t xml:space="preserve">Приглашение к участию в закупке способом сравнения цен</w:t>
      </w:r>
      <w:r>
        <w:rPr>
          <w:b/>
          <w:i/>
          <w:sz w:val="28"/>
          <w:szCs w:val="28"/>
        </w:rPr>
      </w:r>
      <w:r>
        <w:rPr>
          <w:b/>
          <w:i/>
          <w:sz w:val="28"/>
          <w:szCs w:val="28"/>
        </w:rPr>
      </w:r>
    </w:p>
    <w:p>
      <w:pPr>
        <w:pStyle w:val="1276"/>
        <w:ind w:firstLine="567"/>
        <w:tabs>
          <w:tab w:val="left" w:pos="142" w:leader="none"/>
          <w:tab w:val="center" w:pos="1134" w:leader="none"/>
        </w:tabs>
      </w:pPr>
      <w:r/>
      <w:r/>
    </w:p>
    <w:p>
      <w:pPr>
        <w:pStyle w:val="1276"/>
        <w:tabs>
          <w:tab w:val="left" w:pos="3933" w:leader="none"/>
        </w:tabs>
        <w:outlineLvl w:val="0"/>
      </w:pPr>
      <w:r>
        <w:rPr>
          <w:b/>
          <w:i/>
          <w:sz w:val="28"/>
          <w:szCs w:val="28"/>
        </w:rPr>
        <w:tab/>
      </w:r>
      <w:r/>
    </w:p>
    <w:p>
      <w:pPr>
        <w:pStyle w:val="1276"/>
        <w:jc w:val="both"/>
        <w:rPr>
          <w:b/>
          <w:bCs/>
          <w:spacing w:val="-2"/>
        </w:rPr>
      </w:pPr>
      <w:r>
        <w:t xml:space="preserve">Публичное акционерное общество «</w:t>
      </w:r>
      <w:r>
        <w:rPr>
          <w:rFonts w:cs="Segoe UI"/>
          <w:color w:val="262626"/>
        </w:rPr>
        <w:t xml:space="preserve">Россети Московский регион</w:t>
      </w:r>
      <w:r>
        <w:t xml:space="preserve">» (далее - «Россети Мос</w:t>
      </w:r>
      <w:r>
        <w:t xml:space="preserve">ковский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юридических лиц, физических лиц, в том числе индивидуальных предпринимателей </w:t>
      </w:r>
      <w:r>
        <w:rPr>
          <w:spacing w:val="-2"/>
        </w:rPr>
        <w:t xml:space="preserve">принять участие в процедуре Закупки с целью определения наилучшей заявки и заключения договора на </w:t>
      </w:r>
      <w:r>
        <w:rPr>
          <w:b/>
          <w:spacing w:val="-2"/>
        </w:rPr>
        <w:t xml:space="preserve"> </w:t>
      </w:r>
      <w:r>
        <w:rPr>
          <w:b/>
          <w:bCs/>
          <w:spacing w:val="-2"/>
        </w:rPr>
      </w:r>
      <w:r>
        <w:rPr>
          <w:b/>
          <w:bCs/>
          <w:spacing w:val="-2"/>
        </w:rPr>
      </w:r>
    </w:p>
    <w:tbl>
      <w:tblPr>
        <w:tblStyle w:val="1132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10063"/>
      </w:tblGrid>
      <w:tr>
        <w:tblPrEx/>
        <w:trPr>
          <w:trHeight w:val="525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063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rPr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sz w:val="26"/>
                <w:szCs w:val="26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sz w:val="26"/>
                <w:szCs w:val="26"/>
              </w:rPr>
              <w:t xml:space="preserve">Выполнение работ по замене двух повреждённых концевых муфт (3КВТп-10-150/24) в РУ-10 кВ РТП №19061(2) ячейка ввода от ПС №64 «Барвиха» (Гамма+Дельта) на объекте, расположенном по адресу:143082, Московская обл., г. Одинцово, п. Барвиха, территория индивидуал</w:t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sz w:val="26"/>
                <w:szCs w:val="26"/>
              </w:rPr>
              <w:t xml:space="preserve">ьной жилой застройки «Сады Майендорф»</w:t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sz w:val="26"/>
                <w:szCs w:val="26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strike w:val="0"/>
                <w:color w:val="000000"/>
                <w:sz w:val="24"/>
                <w:szCs w:val="24"/>
                <w:u w:val="none"/>
              </w:rPr>
              <w:t xml:space="preserve">, согласно требованиям Технического задан</w:t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strike w:val="0"/>
                <w:color w:val="000000"/>
                <w:sz w:val="24"/>
                <w:szCs w:val="24"/>
                <w:u w:val="none"/>
              </w:rPr>
              <w:t xml:space="preserve">ия (далее -ТЗ). </w:t>
            </w:r>
            <w:r>
              <w:rPr>
                <w:b/>
                <w:bCs/>
              </w:rPr>
              <w:t xml:space="preserve"> </w:t>
            </w:r>
            <w:r>
              <w:rPr>
                <w14:ligatures w14:val="none"/>
              </w:rPr>
            </w:r>
            <w:r>
              <w:rPr>
                <w14:ligatures w14:val="none"/>
              </w:rPr>
            </w:r>
          </w:p>
        </w:tc>
      </w:tr>
    </w:tbl>
    <w:p>
      <w:pPr>
        <w:jc w:val="both"/>
      </w:pPr>
      <w:r>
        <w:rPr>
          <w:b/>
          <w:spacing w:val="-2"/>
        </w:rPr>
      </w:r>
      <w:r>
        <w:rPr>
          <w:b/>
          <w:spacing w:val="-2"/>
        </w:rPr>
        <w:t xml:space="preserve">. </w:t>
      </w:r>
      <w:r>
        <w:t xml:space="preserve">Настоящее Приглашение о закупке подготовлено в соответствии с требованиями Федерального закона от 18.07.2011 № 223-ФЗ «О закупке товаров, работ, услуг отдельными видами</w:t>
      </w:r>
      <w:r>
        <w:t xml:space="preserve">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>
        <w:rPr>
          <w:bCs/>
        </w:rPr>
        <w:t xml:space="preserve">Единого стандарта закупок Публичного акционерного общества «Федеральная сетевая компания - Россети» </w:t>
      </w:r>
      <w:r>
        <w:t xml:space="preserve">(далее - Стандарт, Положение о закупке), утвержденного решением Совета Директоров ПАО «</w:t>
      </w:r>
      <w:r>
        <w:rPr>
          <w:rFonts w:cs="Segoe UI"/>
        </w:rPr>
        <w:t xml:space="preserve">Россети Московский регион</w:t>
      </w:r>
      <w:r>
        <w:t xml:space="preserve">» (протокол от 03.02.2023 №</w:t>
      </w:r>
      <w:r>
        <w:t xml:space="preserve"> </w:t>
      </w:r>
      <w:r>
        <w:t xml:space="preserve">536).</w:t>
      </w:r>
      <w:r/>
    </w:p>
    <w:p>
      <w:pPr>
        <w:pStyle w:val="1276"/>
        <w:ind w:firstLine="567"/>
        <w:jc w:val="both"/>
        <w:tabs>
          <w:tab w:val="left" w:pos="142" w:leader="none"/>
          <w:tab w:val="left" w:pos="851" w:leader="none"/>
          <w:tab w:val="center" w:pos="1134" w:leader="none"/>
        </w:tabs>
      </w:pPr>
      <w:r>
        <w:t xml:space="preserve">Потенци</w:t>
      </w:r>
      <w:r>
        <w:t xml:space="preserve">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</w:t>
      </w:r>
      <w:r>
        <w:t xml:space="preserve">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компенсацию упущенной выгоды, понесенной в ходе подготовки к закупке и проведения закупки.</w:t>
      </w:r>
      <w:r/>
    </w:p>
    <w:p>
      <w:pPr>
        <w:pStyle w:val="1276"/>
        <w:ind w:firstLine="567"/>
        <w:jc w:val="both"/>
        <w:tabs>
          <w:tab w:val="left" w:pos="142" w:leader="none"/>
          <w:tab w:val="left" w:pos="851" w:leader="none"/>
          <w:tab w:val="center" w:pos="1134" w:leader="none"/>
        </w:tabs>
      </w:pPr>
      <w:r>
        <w:t xml:space="preserve">Закупка способом сравнение цен относится к неконкурентным способам закупок.</w:t>
      </w:r>
      <w:r/>
    </w:p>
    <w:p>
      <w:pPr>
        <w:pStyle w:val="1276"/>
        <w:ind w:firstLine="567"/>
        <w:jc w:val="both"/>
        <w:tabs>
          <w:tab w:val="left" w:pos="142" w:leader="none"/>
          <w:tab w:val="left" w:pos="851" w:leader="none"/>
          <w:tab w:val="center" w:pos="1134" w:leader="none"/>
        </w:tabs>
      </w:pPr>
      <w:r>
        <w:t xml:space="preserve">В соответствии с частью 15 статьи 4 Закона 223-ФЗ Заказчик вправе не размещать в единой информационной системе сведения о закупке товаров, работ, услуг, стоимость которых не превышает пятьсот тысяч рублей с НДС.</w:t>
      </w:r>
      <w:r/>
    </w:p>
    <w:p>
      <w:pPr>
        <w:pStyle w:val="1276"/>
        <w:ind w:firstLine="567"/>
        <w:jc w:val="both"/>
        <w:tabs>
          <w:tab w:val="left" w:pos="142" w:leader="none"/>
          <w:tab w:val="left" w:pos="851" w:leader="none"/>
          <w:tab w:val="center" w:pos="1134" w:leader="none"/>
        </w:tabs>
      </w:pPr>
      <w:r/>
      <w:bookmarkStart w:id="0" w:name="_Ref119427085"/>
      <w:r>
        <w:t xml:space="preserve"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bookmarkEnd w:id="0"/>
      <w:r/>
      <w:r/>
    </w:p>
    <w:p>
      <w:pPr>
        <w:pStyle w:val="1276"/>
        <w:jc w:val="both"/>
        <w:tabs>
          <w:tab w:val="left" w:pos="142" w:leader="none"/>
          <w:tab w:val="left" w:pos="851" w:leader="none"/>
          <w:tab w:val="center" w:pos="1134" w:leader="none"/>
        </w:tabs>
        <w:rPr>
          <w:b/>
          <w:i/>
          <w:spacing w:val="-2"/>
        </w:rPr>
      </w:pPr>
      <w:r>
        <w:rPr>
          <w:b/>
          <w:i/>
          <w:spacing w:val="-2"/>
        </w:rPr>
      </w:r>
      <w:r>
        <w:rPr>
          <w:b/>
          <w:i/>
          <w:spacing w:val="-2"/>
        </w:rPr>
      </w:r>
      <w:r>
        <w:rPr>
          <w:b/>
          <w:i/>
          <w:spacing w:val="-2"/>
        </w:rPr>
      </w:r>
    </w:p>
    <w:p>
      <w:pPr>
        <w:pStyle w:val="1276"/>
        <w:numPr>
          <w:ilvl w:val="0"/>
          <w:numId w:val="6"/>
        </w:numPr>
        <w:ind w:left="0" w:firstLine="567"/>
        <w:tabs>
          <w:tab w:val="left" w:pos="142" w:leader="none"/>
          <w:tab w:val="center" w:pos="1134" w:leader="none"/>
        </w:tabs>
        <w:outlineLvl w:val="0"/>
      </w:pPr>
      <w:r>
        <w:t xml:space="preserve">ИНФОРМАЦИЯ О ЗАКУПКЕ</w:t>
      </w:r>
      <w:r/>
    </w:p>
    <w:p>
      <w:pPr>
        <w:pStyle w:val="1276"/>
        <w:numPr>
          <w:ilvl w:val="1"/>
          <w:numId w:val="7"/>
        </w:numPr>
        <w:ind w:left="0" w:firstLine="567"/>
        <w:jc w:val="both"/>
        <w:keepNext/>
        <w:tabs>
          <w:tab w:val="left" w:pos="142" w:leader="none"/>
          <w:tab w:val="center" w:pos="1134" w:leader="none"/>
        </w:tabs>
        <w:rPr>
          <w:b/>
        </w:rPr>
        <w:outlineLvl w:val="1"/>
      </w:pPr>
      <w:r>
        <w:rPr>
          <w:b/>
        </w:rPr>
        <w:t xml:space="preserve">Общая  информация о закупке</w:t>
      </w:r>
      <w:r>
        <w:rPr>
          <w:b/>
        </w:rPr>
      </w:r>
      <w:r>
        <w:rPr>
          <w:b/>
        </w:rPr>
      </w:r>
    </w:p>
    <w:p>
      <w:pPr>
        <w:pStyle w:val="1276"/>
        <w:ind w:firstLine="567"/>
        <w:jc w:val="both"/>
        <w:tabs>
          <w:tab w:val="left" w:pos="142" w:leader="none"/>
          <w:tab w:val="center" w:pos="1134" w:leader="none"/>
        </w:tabs>
        <w:rPr>
          <w:i/>
        </w:rPr>
      </w:pPr>
      <w:r>
        <w:rPr>
          <w:bCs/>
        </w:rPr>
        <w:t xml:space="preserve">Закупка способом сравнение цен проводится в электронной форме.</w:t>
      </w:r>
      <w:r>
        <w:rPr>
          <w:i/>
        </w:rPr>
      </w:r>
      <w:r>
        <w:rPr>
          <w:i/>
        </w:rPr>
      </w:r>
    </w:p>
    <w:p>
      <w:pPr>
        <w:pStyle w:val="1276"/>
        <w:ind w:firstLine="567"/>
        <w:jc w:val="both"/>
        <w:tabs>
          <w:tab w:val="left" w:pos="142" w:leader="none"/>
          <w:tab w:val="center" w:pos="1134" w:leader="none"/>
        </w:tabs>
      </w:pPr>
      <w:r>
        <w:t xml:space="preserve">Ограничение участия только субъектом малого и среднего предпринимательства: установлено.</w:t>
      </w:r>
      <w:r/>
    </w:p>
    <w:p>
      <w:pPr>
        <w:pStyle w:val="1276"/>
        <w:ind w:firstLine="567"/>
        <w:jc w:val="both"/>
        <w:tabs>
          <w:tab w:val="left" w:pos="142" w:leader="none"/>
          <w:tab w:val="center" w:pos="1134" w:leader="none"/>
        </w:tabs>
        <w:rPr>
          <w:i/>
        </w:rPr>
      </w:pPr>
      <w:r>
        <w:t xml:space="preserve">Опубликовано на электронной торговой площадке: АО РАД https://tender.lot-online.ru/.</w:t>
      </w:r>
      <w:r>
        <w:rPr>
          <w:i/>
        </w:rPr>
      </w:r>
      <w:r>
        <w:rPr>
          <w:i/>
        </w:rPr>
      </w:r>
    </w:p>
    <w:p>
      <w:pPr>
        <w:pStyle w:val="1276"/>
        <w:numPr>
          <w:ilvl w:val="1"/>
          <w:numId w:val="7"/>
        </w:numPr>
        <w:ind w:left="0" w:firstLine="567"/>
        <w:jc w:val="both"/>
        <w:keepNext/>
        <w:tabs>
          <w:tab w:val="left" w:pos="142" w:leader="none"/>
          <w:tab w:val="center" w:pos="1134" w:leader="none"/>
        </w:tabs>
        <w:rPr>
          <w:b/>
        </w:rPr>
        <w:outlineLvl w:val="1"/>
      </w:pPr>
      <w:r>
        <w:rPr>
          <w:b/>
        </w:rPr>
        <w:t xml:space="preserve">Наименование, место нахождения, почтовый адрес, адрес электронной почты, номер контактного телефона Заказчика</w:t>
      </w:r>
      <w:r>
        <w:rPr>
          <w:b/>
        </w:rPr>
      </w:r>
      <w:r>
        <w:rPr>
          <w:b/>
        </w:rPr>
      </w:r>
    </w:p>
    <w:p>
      <w:pPr>
        <w:pStyle w:val="1276"/>
        <w:ind w:left="142"/>
        <w:jc w:val="both"/>
        <w:tabs>
          <w:tab w:val="left" w:pos="142" w:leader="none"/>
          <w:tab w:val="center" w:pos="1134" w:leader="none"/>
        </w:tabs>
        <w:rPr>
          <w:rFonts w:eastAsia="Calibri"/>
        </w:rPr>
      </w:pPr>
      <w:r>
        <w:rPr>
          <w:rFonts w:eastAsia="Calibri"/>
        </w:rPr>
        <w:tab/>
        <w:t xml:space="preserve">Наименование Заказчика: Филиал ПАО «Россети Московский Регион» - «Западные электрические сети»</w:t>
      </w:r>
      <w:r>
        <w:rPr>
          <w:rFonts w:eastAsia="Calibri"/>
        </w:rPr>
      </w:r>
      <w:r>
        <w:rPr>
          <w:rFonts w:eastAsia="Calibri"/>
        </w:rPr>
      </w:r>
    </w:p>
    <w:p>
      <w:pPr>
        <w:pStyle w:val="1276"/>
        <w:ind w:left="142"/>
        <w:jc w:val="both"/>
        <w:tabs>
          <w:tab w:val="left" w:pos="142" w:leader="none"/>
          <w:tab w:val="center" w:pos="1134" w:leader="none"/>
        </w:tabs>
        <w:rPr>
          <w:rFonts w:eastAsia="Calibri"/>
        </w:rPr>
      </w:pPr>
      <w:r>
        <w:rPr>
          <w:rFonts w:eastAsia="Calibri"/>
        </w:rPr>
        <w:tab/>
        <w:t xml:space="preserve">Место нахождения и почтовый адрес Заказчика (Организатора): РФ, 143006, Московская область, г. Одинцово, Транспортный проезд, дом 32</w:t>
      </w:r>
      <w:r>
        <w:rPr>
          <w:rFonts w:eastAsia="Calibri"/>
        </w:rPr>
      </w:r>
      <w:r>
        <w:rPr>
          <w:rFonts w:eastAsia="Calibri"/>
        </w:rPr>
      </w:r>
    </w:p>
    <w:p>
      <w:pPr>
        <w:pStyle w:val="1276"/>
        <w:ind w:firstLine="142"/>
        <w:rPr>
          <w:rFonts w:eastAsia="Calibri"/>
          <w:color w:val="000000"/>
          <w:lang w:val="en-US"/>
        </w:rPr>
      </w:pPr>
      <w:r>
        <w:rPr>
          <w:rFonts w:eastAsia="Calibri"/>
          <w:lang w:val="en-US"/>
        </w:rPr>
        <w:t xml:space="preserve">E-mail: </w:t>
      </w:r>
      <w:r>
        <w:fldChar w:fldCharType="begin"/>
      </w:r>
      <w:r>
        <w:rPr>
          <w:lang w:val="en-US"/>
        </w:rPr>
        <w:instrText xml:space="preserve"> HYPERLINK "mailto:zes@moesk.ru" \h </w:instrText>
      </w:r>
      <w:r>
        <w:fldChar w:fldCharType="separate"/>
      </w:r>
      <w:r>
        <w:rPr>
          <w:rFonts w:eastAsia="Calibri"/>
          <w:color w:val="0000ff"/>
          <w:u w:val="single"/>
          <w:lang w:val="en-US"/>
        </w:rPr>
        <w:t xml:space="preserve">zes@moesk.ru</w:t>
      </w:r>
      <w:r>
        <w:rPr>
          <w:rFonts w:eastAsia="Calibri"/>
          <w:color w:val="0000ff"/>
          <w:u w:val="single"/>
          <w:lang w:val="en-US"/>
        </w:rPr>
        <w:fldChar w:fldCharType="end"/>
      </w:r>
      <w:r>
        <w:rPr>
          <w:rFonts w:eastAsia="Calibri"/>
          <w:color w:val="000000"/>
          <w:lang w:val="en-US"/>
        </w:rPr>
      </w:r>
      <w:r>
        <w:rPr>
          <w:rFonts w:eastAsia="Calibri"/>
          <w:color w:val="000000"/>
          <w:lang w:val="en-US"/>
        </w:rPr>
      </w:r>
    </w:p>
    <w:p>
      <w:pPr>
        <w:pStyle w:val="1276"/>
        <w:jc w:val="both"/>
        <w:tabs>
          <w:tab w:val="left" w:pos="142" w:leader="none"/>
          <w:tab w:val="center" w:pos="1134" w:leader="none"/>
        </w:tabs>
        <w:rPr>
          <w:rFonts w:eastAsia="Calibri"/>
          <w:lang w:val="en-US"/>
        </w:rPr>
      </w:pPr>
      <w:r>
        <w:rPr>
          <w:rFonts w:eastAsia="Calibri"/>
          <w:lang w:val="en-US"/>
        </w:rPr>
        <w:tab/>
      </w:r>
      <w:r>
        <w:rPr>
          <w:rFonts w:eastAsia="Calibri"/>
        </w:rPr>
        <w:t xml:space="preserve">Тел</w:t>
      </w:r>
      <w:r>
        <w:rPr>
          <w:rFonts w:eastAsia="Calibri"/>
          <w:lang w:val="en-US"/>
        </w:rPr>
        <w:t xml:space="preserve">.: </w:t>
      </w:r>
      <w:r>
        <w:rPr>
          <w:rFonts w:eastAsia="Calibri"/>
          <w:color w:val="000000"/>
          <w:lang w:val="en-US"/>
        </w:rPr>
        <w:t xml:space="preserve">(495) 525-73-00</w:t>
      </w:r>
      <w:r>
        <w:rPr>
          <w:rFonts w:eastAsia="Calibri"/>
          <w:lang w:val="en-US"/>
        </w:rPr>
      </w:r>
      <w:r>
        <w:rPr>
          <w:rFonts w:eastAsia="Calibri"/>
          <w:lang w:val="en-US"/>
        </w:rPr>
      </w:r>
    </w:p>
    <w:p>
      <w:pPr>
        <w:pStyle w:val="1276"/>
        <w:jc w:val="both"/>
        <w:tabs>
          <w:tab w:val="left" w:pos="142" w:leader="none"/>
          <w:tab w:val="left" w:pos="851" w:leader="none"/>
          <w:tab w:val="center" w:pos="1134" w:leader="none"/>
        </w:tabs>
        <w:rPr>
          <w:rFonts w:eastAsia="Calibri"/>
        </w:rPr>
      </w:pPr>
      <w:r>
        <w:rPr>
          <w:rFonts w:eastAsia="Calibri"/>
          <w:lang w:val="en-US"/>
        </w:rPr>
        <w:tab/>
      </w:r>
      <w:r>
        <w:rPr>
          <w:rFonts w:eastAsia="Calibri"/>
        </w:rPr>
        <w:t xml:space="preserve">Контактное лицо Заказчика: Рябова Яна Анатольевна.</w:t>
      </w:r>
      <w:r>
        <w:rPr>
          <w:rFonts w:eastAsia="Calibri"/>
        </w:rPr>
      </w:r>
      <w:r>
        <w:rPr>
          <w:rFonts w:eastAsia="Calibri"/>
        </w:rPr>
      </w:r>
    </w:p>
    <w:p>
      <w:pPr>
        <w:pStyle w:val="1276"/>
        <w:jc w:val="both"/>
        <w:tabs>
          <w:tab w:val="left" w:pos="142" w:leader="none"/>
          <w:tab w:val="center" w:pos="1134" w:leader="none"/>
        </w:tabs>
        <w:rPr>
          <w:rFonts w:eastAsia="Calibri"/>
          <w:lang w:val="en-US"/>
        </w:rPr>
      </w:pPr>
      <w:r>
        <w:rPr>
          <w:rFonts w:eastAsia="Calibri"/>
        </w:rPr>
        <w:tab/>
      </w:r>
      <w:r>
        <w:rPr>
          <w:rFonts w:eastAsia="Calibri"/>
          <w:lang w:val="en-US"/>
        </w:rPr>
        <w:t xml:space="preserve">E-mail: RyabovaYA@rossetimr.ru</w:t>
      </w:r>
      <w:r>
        <w:rPr>
          <w:rFonts w:eastAsia="Calibri"/>
          <w:lang w:val="en-US"/>
        </w:rPr>
      </w:r>
      <w:r>
        <w:rPr>
          <w:rFonts w:eastAsia="Calibri"/>
          <w:lang w:val="en-US"/>
        </w:rPr>
      </w:r>
    </w:p>
    <w:p>
      <w:pPr>
        <w:pStyle w:val="1276"/>
        <w:jc w:val="both"/>
        <w:tabs>
          <w:tab w:val="left" w:pos="142" w:leader="none"/>
          <w:tab w:val="left" w:pos="851" w:leader="none"/>
          <w:tab w:val="center" w:pos="1134" w:leader="none"/>
        </w:tabs>
        <w:rPr>
          <w:rFonts w:eastAsia="Calibri"/>
          <w:i/>
          <w:lang w:val="en-US"/>
        </w:rPr>
      </w:pPr>
      <w:r>
        <w:rPr>
          <w:rFonts w:eastAsia="Calibri"/>
          <w:lang w:val="en-US"/>
        </w:rPr>
        <w:tab/>
      </w:r>
      <w:r>
        <w:rPr>
          <w:rFonts w:eastAsia="Calibri"/>
        </w:rPr>
        <w:t xml:space="preserve">Тел</w:t>
      </w:r>
      <w:r>
        <w:rPr>
          <w:rFonts w:eastAsia="Calibri"/>
          <w:lang w:val="en-US"/>
        </w:rPr>
        <w:t xml:space="preserve">.: </w:t>
      </w:r>
      <w:r>
        <w:rPr>
          <w:rFonts w:eastAsia="Calibri"/>
          <w:color w:val="000000"/>
          <w:lang w:val="en-US"/>
        </w:rPr>
        <w:t xml:space="preserve">(495) 525-73-00 </w:t>
      </w:r>
      <w:r>
        <w:rPr>
          <w:rFonts w:eastAsia="Calibri"/>
          <w:i/>
          <w:lang w:val="en-US"/>
        </w:rPr>
      </w:r>
      <w:r>
        <w:rPr>
          <w:rFonts w:eastAsia="Calibri"/>
          <w:i/>
          <w:lang w:val="en-US"/>
        </w:rPr>
      </w:r>
    </w:p>
    <w:p>
      <w:pPr>
        <w:pStyle w:val="1276"/>
        <w:numPr>
          <w:ilvl w:val="1"/>
          <w:numId w:val="7"/>
        </w:numPr>
        <w:ind w:left="0" w:firstLine="567"/>
        <w:jc w:val="both"/>
        <w:keepNext/>
        <w:tabs>
          <w:tab w:val="left" w:pos="142" w:leader="none"/>
          <w:tab w:val="center" w:pos="1134" w:leader="none"/>
        </w:tabs>
        <w:rPr>
          <w:b/>
          <w:bCs/>
          <w:spacing w:val="-2"/>
        </w:rPr>
      </w:pPr>
      <w:r>
        <w:rPr>
          <w:b/>
          <w:bCs/>
        </w:rPr>
        <w:t xml:space="preserve">Предмет договора с указанием места и количества поставляемого товара, объема выполняемой работы, оказываемой услуги</w:t>
      </w:r>
      <w:r>
        <w:rPr>
          <w:b/>
          <w:bCs/>
        </w:rPr>
        <w:t xml:space="preserve">:</w:t>
      </w:r>
      <w:r>
        <w:rPr>
          <w:b/>
          <w:spacing w:val="-2"/>
        </w:rPr>
        <w:t xml:space="preserve"> </w:t>
      </w:r>
      <w:r>
        <w:rPr>
          <w:spacing w:val="-2"/>
        </w:rPr>
        <w:t xml:space="preserve"> </w:t>
      </w:r>
      <w:r>
        <w:rPr>
          <w:b/>
          <w:spacing w:val="-2"/>
        </w:rPr>
        <w:t xml:space="preserve"> </w:t>
      </w:r>
      <w:r>
        <w:rPr>
          <w:b/>
          <w:bCs/>
          <w:spacing w:val="-2"/>
        </w:rPr>
      </w:r>
      <w:r>
        <w:rPr>
          <w:b/>
          <w:bCs/>
          <w:spacing w:val="-2"/>
        </w:rPr>
      </w:r>
    </w:p>
    <w:tbl>
      <w:tblPr>
        <w:tblStyle w:val="1132"/>
        <w:tblW w:w="0" w:type="auto"/>
        <w:tblLook w:val="04A0" w:firstRow="1" w:lastRow="0" w:firstColumn="1" w:lastColumn="0" w:noHBand="0" w:noVBand="1"/>
      </w:tblPr>
      <w:tblGrid>
        <w:gridCol w:w="2258"/>
        <w:gridCol w:w="3863"/>
        <w:gridCol w:w="1238"/>
        <w:gridCol w:w="1028"/>
        <w:gridCol w:w="1028"/>
        <w:gridCol w:w="1028"/>
        <w:gridCol w:w="2438"/>
        <w:gridCol w:w="1028"/>
        <w:gridCol w:w="1583"/>
      </w:tblGrid>
      <w:tr>
        <w:tblPrEx/>
        <w:trPr>
          <w:trHeight w:val="525"/>
        </w:trPr>
        <w:tc>
          <w:tcPr>
            <w:gridSpan w:val="9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495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sz w:val="24"/>
                <w:szCs w:val="24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sz w:val="24"/>
                <w:szCs w:val="24"/>
              </w:rPr>
              <w:t xml:space="preserve">Выполнение работ по замене двух повреждённых концевых муфт (3КВТп-10-150/24) в РУ-10 кВ РТП №19061(2) ячейка ввода от ПС №64 «Барвиха» (Гамма+Дельта) на объекте, расположенном по адресу:143082, Московская обл., г. Одинцово, п. Барвиха, территория индивидуал</w:t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sz w:val="24"/>
                <w:szCs w:val="24"/>
              </w:rPr>
              <w:t xml:space="preserve">ьной жилой застройки «Сады Майендорф»</w:t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strike w:val="0"/>
                <w:color w:val="000000"/>
                <w:sz w:val="24"/>
                <w:szCs w:val="24"/>
                <w:u w:val="none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strike w:val="0"/>
                <w:color w:val="000000"/>
                <w:sz w:val="24"/>
                <w:szCs w:val="24"/>
                <w:u w:val="none"/>
              </w:rPr>
              <w:t xml:space="preserve">согласно требованиям Технического задан</w:t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strike w:val="0"/>
                <w:color w:val="000000"/>
                <w:sz w:val="24"/>
                <w:szCs w:val="24"/>
                <w:u w:val="none"/>
              </w:rPr>
              <w:t xml:space="preserve">ия (далее -ТЗ)</w:t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strike w:val="0"/>
                <w:color w:val="000000"/>
                <w:sz w:val="24"/>
                <w:szCs w:val="24"/>
                <w:u w:val="none"/>
              </w:rPr>
              <w:t xml:space="preserve">. </w:t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</w:tbl>
    <w:p>
      <w:pPr>
        <w:numPr>
          <w:ilvl w:val="1"/>
          <w:numId w:val="7"/>
        </w:numPr>
        <w:ind w:left="0" w:firstLine="567"/>
        <w:jc w:val="both"/>
        <w:keepNext/>
        <w:tabs>
          <w:tab w:val="left" w:pos="142" w:leader="none"/>
          <w:tab w:val="center" w:pos="1134" w:leader="none"/>
        </w:tabs>
      </w:pPr>
      <w:r>
        <w:rPr>
          <w:b/>
          <w:spacing w:val="-2"/>
        </w:rPr>
      </w:r>
      <w:r>
        <w:rPr>
          <w:b/>
          <w:spacing w:val="-2"/>
        </w:rPr>
        <w:t xml:space="preserve">. </w:t>
      </w:r>
      <w:r>
        <w:t xml:space="preserve">Более подробн</w:t>
      </w:r>
      <w:r>
        <w:t xml:space="preserve">ая информация о месте и количестве поставляемого товара,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>
        <w:rPr>
          <w:color w:val="000000"/>
        </w:rPr>
        <w:t xml:space="preserve">указана в Приложении № 1 к приглашению к участию в закупке 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>
        <w:t xml:space="preserve"> неотъемлемой частью настоящего Приглашения.</w:t>
      </w:r>
      <w:r/>
    </w:p>
    <w:p>
      <w:pPr>
        <w:pStyle w:val="1276"/>
        <w:numPr>
          <w:ilvl w:val="1"/>
          <w:numId w:val="7"/>
        </w:numPr>
        <w:ind w:left="0" w:firstLine="567"/>
        <w:jc w:val="both"/>
        <w:keepNext/>
        <w:tabs>
          <w:tab w:val="left" w:pos="142" w:leader="none"/>
          <w:tab w:val="center" w:pos="1134" w:leader="none"/>
        </w:tabs>
        <w:outlineLvl w:val="1"/>
      </w:pPr>
      <w:r>
        <w:rPr>
          <w:b/>
        </w:rPr>
        <w:t xml:space="preserve">Сведения о начальной (максимальной) цене договора (цена лота)</w:t>
      </w:r>
      <w:r>
        <w:rPr>
          <w:rFonts w:eastAsia="Calibri"/>
          <w:b/>
        </w:rPr>
        <w:t xml:space="preserve"> - НМЦ</w:t>
      </w:r>
      <w:r/>
    </w:p>
    <w:p>
      <w:pPr>
        <w:jc w:val="both"/>
        <w:rPr>
          <w:b/>
          <w:u w:val="single"/>
        </w:rPr>
      </w:pPr>
      <w:r>
        <w:rPr>
          <w:b/>
        </w:rPr>
        <w:t xml:space="preserve">Начальная (максимальная) цена договора составляет </w:t>
      </w:r>
      <w:r>
        <w:rPr>
          <w:b/>
          <w:bCs/>
        </w:rPr>
        <w:t xml:space="preserve">232 399,06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4"/>
          <w:u w:val="none"/>
        </w:rPr>
        <w:t xml:space="preserve"> </w:t>
      </w:r>
      <w:r>
        <w:rPr>
          <w:b/>
          <w:u w:val="single"/>
        </w:rPr>
        <w:t xml:space="preserve"> </w:t>
      </w:r>
      <w:r>
        <w:rPr>
          <w:b/>
          <w:u w:val="single"/>
        </w:rPr>
        <w:t xml:space="preserve">в т.ч. НДС 2</w:t>
      </w:r>
      <w:r>
        <w:rPr>
          <w:b/>
          <w:u w:val="single"/>
        </w:rPr>
        <w:t xml:space="preserve">2</w:t>
      </w:r>
      <w:r>
        <w:rPr>
          <w:b/>
          <w:u w:val="single"/>
        </w:rPr>
        <w:t xml:space="preserve">%</w:t>
      </w:r>
      <w:r>
        <w:t xml:space="preserve">, и включает в себя все расходы участника, связанные с реализацией его заявки, в том числе все виды налогов, сборов и иных платежей.</w:t>
      </w:r>
      <w:r>
        <w:rPr>
          <w:b/>
          <w:u w:val="single"/>
        </w:rPr>
      </w:r>
      <w:r>
        <w:rPr>
          <w:b/>
          <w:u w:val="single"/>
        </w:rPr>
      </w:r>
    </w:p>
    <w:p>
      <w:pPr>
        <w:pStyle w:val="1276"/>
        <w:ind w:firstLine="567"/>
        <w:jc w:val="both"/>
      </w:pPr>
      <w:r>
        <w:rPr>
          <w:b/>
        </w:rPr>
        <w:t xml:space="preserve">Цена неизменна.</w:t>
      </w:r>
      <w:r>
        <w:t xml:space="preserve"> НМЦ закупки не может быть снижена в заявке Участника закупки, снижение применяется только к стоимости единичных расценок </w:t>
      </w:r>
      <w:r>
        <w:rPr>
          <w:color w:val="000000"/>
        </w:rPr>
        <w:t xml:space="preserve">при неизменной НМЦ.</w:t>
      </w:r>
      <w:r/>
    </w:p>
    <w:p>
      <w:pPr>
        <w:pStyle w:val="1276"/>
        <w:numPr>
          <w:ilvl w:val="1"/>
          <w:numId w:val="7"/>
        </w:numPr>
        <w:ind w:left="0" w:firstLine="567"/>
        <w:jc w:val="both"/>
        <w:keepNext/>
        <w:tabs>
          <w:tab w:val="left" w:pos="142" w:leader="none"/>
          <w:tab w:val="center" w:pos="1134" w:leader="none"/>
        </w:tabs>
        <w:rPr>
          <w:b/>
        </w:rPr>
        <w:outlineLvl w:val="1"/>
      </w:pPr>
      <w:r>
        <w:rPr>
          <w:b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  <w:r>
        <w:rPr>
          <w:b/>
        </w:rPr>
      </w:r>
      <w:r>
        <w:rPr>
          <w:b/>
        </w:rPr>
      </w:r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Порядок подачи, изменения и отзыва заявок участников.</w:t>
      </w:r>
      <w:r/>
    </w:p>
    <w:p>
      <w:pPr>
        <w:pStyle w:val="1276"/>
        <w:numPr>
          <w:ilvl w:val="1"/>
          <w:numId w:val="8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при проведении закупки в электронной форме участник закупки подает заявку с использованием функционала и в соответствии с Регламентом работы ЭТП в сроки, установленные настоящим Приглашением;</w:t>
      </w:r>
      <w:r/>
    </w:p>
    <w:p>
      <w:pPr>
        <w:pStyle w:val="1276"/>
        <w:numPr>
          <w:ilvl w:val="1"/>
          <w:numId w:val="9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при проведении закупки в неэлектронной форме участник закупки подает заявку на электронный адрес контактного лица Заказчика, указанного в п. 1.2. настоящего Приглашения;</w:t>
      </w:r>
      <w:r/>
    </w:p>
    <w:p>
      <w:pPr>
        <w:pStyle w:val="1276"/>
        <w:numPr>
          <w:ilvl w:val="1"/>
          <w:numId w:val="9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участник закупки вправе подать только одну заявку;</w:t>
      </w:r>
      <w:r/>
    </w:p>
    <w:p>
      <w:pPr>
        <w:pStyle w:val="1276"/>
        <w:numPr>
          <w:ilvl w:val="1"/>
          <w:numId w:val="9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участник закупки, подавший заявку, вправе изменить или отозвать заявку в любое время до момента окончания срока подачи заявок;</w:t>
      </w:r>
      <w:r/>
    </w:p>
    <w:p>
      <w:pPr>
        <w:pStyle w:val="1276"/>
        <w:numPr>
          <w:ilvl w:val="1"/>
          <w:numId w:val="9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после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  <w:r/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  <w:rPr>
          <w:color w:val="000000"/>
        </w:rPr>
      </w:pPr>
      <w:r>
        <w:rPr>
          <w:color w:val="000000"/>
        </w:rPr>
        <w:t xml:space="preserve">Сроки проведения этапов закупки</w:t>
      </w:r>
      <w:r>
        <w:rPr>
          <w:color w:val="000000"/>
        </w:rPr>
      </w:r>
      <w:r>
        <w:rPr>
          <w:color w:val="000000"/>
        </w:rPr>
      </w:r>
    </w:p>
    <w:p>
      <w:pPr>
        <w:pStyle w:val="1276"/>
        <w:ind w:firstLine="567"/>
        <w:jc w:val="both"/>
        <w:tabs>
          <w:tab w:val="left" w:pos="142" w:leader="none"/>
          <w:tab w:val="center" w:pos="1134" w:leader="none"/>
        </w:tabs>
        <w:rPr>
          <w:color w:val="000000"/>
        </w:rPr>
      </w:pPr>
      <w:r>
        <w:rPr>
          <w:b/>
          <w:color w:val="000000"/>
        </w:rPr>
        <w:t xml:space="preserve">Дата начала срока подачи заявок:</w:t>
      </w:r>
      <w:r>
        <w:rPr>
          <w:color w:val="000000"/>
        </w:rPr>
      </w:r>
      <w:r>
        <w:rPr>
          <w:color w:val="000000"/>
        </w:rPr>
      </w:r>
    </w:p>
    <w:p>
      <w:pPr>
        <w:pStyle w:val="1276"/>
        <w:ind w:firstLine="567"/>
        <w:jc w:val="both"/>
        <w:tabs>
          <w:tab w:val="left" w:pos="142" w:leader="none"/>
          <w:tab w:val="center" w:pos="1134" w:leader="none"/>
        </w:tabs>
        <w:rPr>
          <w:color w:val="000000"/>
        </w:rPr>
      </w:pPr>
      <w:r>
        <w:rPr>
          <w:i/>
          <w:color w:val="000000"/>
        </w:rPr>
        <w:t xml:space="preserve">«09</w:t>
      </w:r>
      <w:r>
        <w:rPr>
          <w:i/>
          <w:color w:val="000000"/>
        </w:rPr>
        <w:t xml:space="preserve">»</w:t>
      </w:r>
      <w:r>
        <w:rPr>
          <w:i/>
          <w:color w:val="000000"/>
        </w:rPr>
        <w:t xml:space="preserve"> сентября</w:t>
      </w:r>
      <w:r>
        <w:rPr>
          <w:i/>
          <w:color w:val="000000"/>
        </w:rPr>
        <w:t xml:space="preserve"> </w:t>
      </w:r>
      <w:r>
        <w:rPr>
          <w:i/>
          <w:color w:val="000000"/>
        </w:rPr>
        <w:t xml:space="preserve">202</w:t>
      </w:r>
      <w:r>
        <w:rPr>
          <w:i/>
          <w:color w:val="000000"/>
        </w:rPr>
        <w:t xml:space="preserve">6</w:t>
      </w:r>
      <w:r>
        <w:rPr>
          <w:i/>
          <w:color w:val="000000"/>
        </w:rPr>
        <w:t xml:space="preserve"> года</w:t>
      </w:r>
      <w:r>
        <w:rPr>
          <w:color w:val="000000"/>
        </w:rPr>
        <w:t xml:space="preserve">;</w:t>
      </w:r>
      <w:r>
        <w:rPr>
          <w:color w:val="000000"/>
        </w:rPr>
      </w:r>
      <w:r>
        <w:rPr>
          <w:color w:val="000000"/>
        </w:rPr>
      </w:r>
    </w:p>
    <w:p>
      <w:pPr>
        <w:pStyle w:val="1276"/>
        <w:ind w:firstLine="567"/>
        <w:jc w:val="both"/>
        <w:tabs>
          <w:tab w:val="left" w:pos="142" w:leader="none"/>
          <w:tab w:val="center" w:pos="1134" w:leader="none"/>
        </w:tabs>
        <w:rPr>
          <w:color w:val="000000"/>
        </w:rPr>
      </w:pPr>
      <w:r>
        <w:rPr>
          <w:b/>
          <w:color w:val="000000"/>
        </w:rPr>
        <w:t xml:space="preserve">Дата и время окончания срока, последний день срока подачи заявок</w:t>
      </w:r>
      <w:r>
        <w:rPr>
          <w:color w:val="000000"/>
        </w:rPr>
        <w:t xml:space="preserve">:</w:t>
      </w:r>
      <w:r>
        <w:rPr>
          <w:color w:val="000000"/>
        </w:rPr>
      </w:r>
      <w:r>
        <w:rPr>
          <w:color w:val="000000"/>
        </w:rPr>
      </w:r>
    </w:p>
    <w:p>
      <w:pPr>
        <w:pStyle w:val="1276"/>
        <w:ind w:firstLine="567"/>
        <w:jc w:val="both"/>
        <w:tabs>
          <w:tab w:val="left" w:pos="142" w:leader="none"/>
          <w:tab w:val="center" w:pos="1134" w:leader="none"/>
        </w:tabs>
        <w:rPr>
          <w:i/>
          <w:color w:val="000000"/>
        </w:rPr>
      </w:pPr>
      <w:r>
        <w:rPr>
          <w:i/>
          <w:color w:val="000000"/>
        </w:rPr>
        <w:t xml:space="preserve">«11</w:t>
      </w:r>
      <w:r>
        <w:rPr>
          <w:i/>
          <w:color w:val="000000"/>
        </w:rPr>
        <w:t xml:space="preserve">» сентября</w:t>
      </w:r>
      <w:r>
        <w:rPr>
          <w:i/>
          <w:color w:val="000000"/>
        </w:rPr>
        <w:t xml:space="preserve"> 202</w:t>
      </w:r>
      <w:r>
        <w:rPr>
          <w:i/>
          <w:color w:val="000000"/>
        </w:rPr>
        <w:t xml:space="preserve">6 </w:t>
      </w:r>
      <w:r>
        <w:rPr>
          <w:i/>
          <w:color w:val="000000"/>
        </w:rPr>
        <w:t xml:space="preserve">года 08</w:t>
      </w:r>
      <w:r>
        <w:rPr>
          <w:i/>
          <w:color w:val="000000"/>
        </w:rPr>
        <w:t xml:space="preserve">:00 (время московское)</w:t>
      </w:r>
      <w:r>
        <w:rPr>
          <w:i/>
          <w:color w:val="000000"/>
        </w:rPr>
      </w:r>
      <w:r>
        <w:rPr>
          <w:i/>
          <w:color w:val="000000"/>
        </w:rPr>
      </w:r>
    </w:p>
    <w:p>
      <w:pPr>
        <w:pStyle w:val="1276"/>
        <w:numPr>
          <w:ilvl w:val="1"/>
          <w:numId w:val="7"/>
        </w:numPr>
        <w:ind w:left="0" w:firstLine="567"/>
        <w:jc w:val="both"/>
        <w:keepNext/>
        <w:tabs>
          <w:tab w:val="left" w:pos="142" w:leader="none"/>
          <w:tab w:val="center" w:pos="1134" w:leader="none"/>
        </w:tabs>
        <w:rPr>
          <w:b/>
        </w:rPr>
        <w:outlineLvl w:val="1"/>
      </w:pPr>
      <w:r/>
      <w:bookmarkStart w:id="1" w:name="_Ref468097559"/>
      <w:r>
        <w:rPr>
          <w:b/>
        </w:rPr>
        <w:t xml:space="preserve">Применение </w:t>
      </w:r>
      <w:bookmarkEnd w:id="1"/>
      <w:r>
        <w:rPr>
          <w:b/>
        </w:rPr>
        <w:t xml:space="preserve">преференций</w:t>
      </w:r>
      <w:r>
        <w:rPr>
          <w:b/>
        </w:rPr>
      </w:r>
      <w:r>
        <w:rPr>
          <w:b/>
        </w:rPr>
      </w:r>
    </w:p>
    <w:p>
      <w:pPr>
        <w:pStyle w:val="1314"/>
        <w:numPr>
          <w:ilvl w:val="0"/>
          <w:numId w:val="0"/>
        </w:numPr>
        <w:spacing w:line="240" w:lineRule="auto"/>
        <w:tabs>
          <w:tab w:val="left" w:pos="851" w:leader="none"/>
        </w:tabs>
      </w:pPr>
      <w:r>
        <w:rPr>
          <w:b/>
          <w:sz w:val="24"/>
          <w:szCs w:val="24"/>
        </w:rPr>
        <w:t xml:space="preserve">     </w:t>
      </w:r>
      <w:r>
        <w:rPr>
          <w:sz w:val="24"/>
          <w:szCs w:val="24"/>
        </w:rPr>
        <w:t xml:space="preserve"> </w:t>
      </w:r>
      <w:bookmarkStart w:id="2" w:name="_Ref30949088"/>
      <w:r/>
      <w:bookmarkEnd w:id="2"/>
      <w:r>
        <w:rPr>
          <w:sz w:val="24"/>
          <w:szCs w:val="24"/>
        </w:rPr>
        <w:t xml:space="preserve">1.6.1. При проведении закупки способом сравнения цен </w:t>
      </w:r>
      <w:r>
        <w:rPr>
          <w:sz w:val="24"/>
          <w:szCs w:val="24"/>
        </w:rPr>
        <w:t xml:space="preserve">устанавливается национальный режим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</w:t>
      </w:r>
      <w:r>
        <w:rPr>
          <w:sz w:val="24"/>
          <w:szCs w:val="24"/>
        </w:rPr>
        <w:t xml:space="preserve">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  <w:r/>
    </w:p>
    <w:p>
      <w:pPr>
        <w:pStyle w:val="1315"/>
        <w:numPr>
          <w:ilvl w:val="0"/>
          <w:numId w:val="0"/>
        </w:numPr>
        <w:spacing w:line="240" w:lineRule="auto"/>
        <w:widowControl w:val="off"/>
        <w:tabs>
          <w:tab w:val="left" w:pos="1276" w:leader="none"/>
        </w:tabs>
      </w:pPr>
      <w:r>
        <w:rPr>
          <w:sz w:val="24"/>
          <w:szCs w:val="24"/>
        </w:rPr>
        <w:t xml:space="preserve">          1.6.2. При осуществлении закупок устанавливается национальный режим, обеспечивающий происходящему из иностранного госуда</w:t>
      </w:r>
      <w:r>
        <w:rPr>
          <w:sz w:val="24"/>
          <w:szCs w:val="24"/>
        </w:rPr>
        <w:t xml:space="preserve">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применение мер, устанавливающих:</w:t>
      </w:r>
      <w:r/>
    </w:p>
    <w:p>
      <w:pPr>
        <w:pStyle w:val="1314"/>
        <w:numPr>
          <w:ilvl w:val="0"/>
          <w:numId w:val="3"/>
        </w:numPr>
        <w:ind w:left="0" w:firstLine="567"/>
        <w:spacing w:line="240" w:lineRule="auto"/>
        <w:tabs>
          <w:tab w:val="left" w:pos="851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314"/>
        <w:numPr>
          <w:ilvl w:val="0"/>
          <w:numId w:val="3"/>
        </w:numPr>
        <w:ind w:left="0" w:firstLine="567"/>
        <w:spacing w:line="240" w:lineRule="auto"/>
        <w:tabs>
          <w:tab w:val="left" w:pos="851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ограничение закупок товаров (в том числе поставляемых при </w:t>
      </w:r>
      <w:r>
        <w:rPr>
          <w:sz w:val="24"/>
          <w:szCs w:val="24"/>
        </w:rPr>
        <w:t xml:space="preserve">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314"/>
        <w:numPr>
          <w:ilvl w:val="0"/>
          <w:numId w:val="3"/>
        </w:numPr>
        <w:ind w:left="0" w:firstLine="567"/>
        <w:spacing w:line="240" w:lineRule="auto"/>
        <w:tabs>
          <w:tab w:val="left" w:pos="851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315"/>
        <w:numPr>
          <w:ilvl w:val="0"/>
          <w:numId w:val="0"/>
        </w:numPr>
        <w:spacing w:line="240" w:lineRule="auto"/>
        <w:widowControl w:val="off"/>
        <w:tabs>
          <w:tab w:val="left" w:pos="0" w:leader="none"/>
        </w:tabs>
      </w:pPr>
      <w:r>
        <w:rPr>
          <w:sz w:val="24"/>
          <w:szCs w:val="24"/>
        </w:rPr>
        <w:t xml:space="preserve">    1.6.3. Если иное не предусмотрено мерами, приня</w:t>
      </w:r>
      <w:r>
        <w:rPr>
          <w:sz w:val="24"/>
          <w:szCs w:val="24"/>
        </w:rPr>
        <w:t xml:space="preserve">тыми Правительством Российской Федерации, положения п. 1.6.2. настоящего Приглашения, 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</w:t>
      </w:r>
      <w:r>
        <w:rPr>
          <w:sz w:val="24"/>
          <w:szCs w:val="24"/>
        </w:rPr>
        <w:t xml:space="preserve">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  <w:r/>
    </w:p>
    <w:p>
      <w:pPr>
        <w:pStyle w:val="1315"/>
        <w:numPr>
          <w:ilvl w:val="2"/>
          <w:numId w:val="4"/>
        </w:numPr>
        <w:ind w:left="0" w:firstLine="567"/>
        <w:spacing w:line="240" w:lineRule="auto"/>
        <w:widowControl w:val="off"/>
        <w:tabs>
          <w:tab w:val="left" w:pos="709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Если Правительством Российской Федерации установлен предусмотренный п. 1.6.2. а) настоящего Приглашения запрет закупок товара, не допускаются: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79"/>
        <w:ind w:firstLine="567"/>
        <w:jc w:val="both"/>
        <w:keepLines/>
        <w:spacing w:before="0" w:after="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а) заключение договора на поставку такого товара; </w:t>
      </w:r>
      <w:r>
        <w:rPr>
          <w:rFonts w:ascii="Times New Roman" w:hAnsi="Times New Roman" w:cs="Times New Roman"/>
          <w:b w:val="0"/>
          <w:sz w:val="24"/>
          <w:szCs w:val="24"/>
        </w:rPr>
      </w:r>
      <w:r>
        <w:rPr>
          <w:rFonts w:ascii="Times New Roman" w:hAnsi="Times New Roman" w:cs="Times New Roman"/>
          <w:b w:val="0"/>
          <w:sz w:val="24"/>
          <w:szCs w:val="24"/>
        </w:rPr>
      </w:r>
    </w:p>
    <w:p>
      <w:pPr>
        <w:pStyle w:val="1279"/>
        <w:ind w:firstLine="567"/>
        <w:jc w:val="both"/>
        <w:keepLines/>
        <w:spacing w:before="0" w:after="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r>
        <w:rPr>
          <w:rFonts w:ascii="Times New Roman" w:hAnsi="Times New Roman" w:cs="Times New Roman"/>
          <w:b w:val="0"/>
          <w:sz w:val="24"/>
          <w:szCs w:val="24"/>
        </w:rPr>
      </w:r>
      <w:r>
        <w:rPr>
          <w:rFonts w:ascii="Times New Roman" w:hAnsi="Times New Roman" w:cs="Times New Roman"/>
          <w:b w:val="0"/>
          <w:sz w:val="24"/>
          <w:szCs w:val="24"/>
        </w:rPr>
      </w:r>
    </w:p>
    <w:p>
      <w:pPr>
        <w:pStyle w:val="1315"/>
        <w:numPr>
          <w:ilvl w:val="2"/>
          <w:numId w:val="4"/>
        </w:numPr>
        <w:ind w:left="0" w:firstLine="567"/>
        <w:spacing w:line="240" w:lineRule="auto"/>
        <w:widowControl w:val="off"/>
        <w:tabs>
          <w:tab w:val="left" w:pos="0" w:leader="none"/>
          <w:tab w:val="left" w:pos="851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Если Правительством Российской Федерации установлено предусмотренное п. 1.6.2. б) настоящего Приглашения ограничение закупок товара, не допускаются: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79"/>
        <w:ind w:firstLine="567"/>
        <w:jc w:val="both"/>
        <w:keepLines/>
        <w:spacing w:before="0" w:after="0"/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а) заключение договора на поставку товара, происходящего из иностранного государства, если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поданы заявки на участие в закупке, признанные по результатам их рассмотрения соответствующими требованиям положения о закупке, Приглашения о проведении закупки способом сравнения цен, и содержащие предложения о поставке товара российского происхождения; </w:t>
      </w:r>
      <w:r/>
    </w:p>
    <w:p>
      <w:pPr>
        <w:pStyle w:val="1279"/>
        <w:ind w:firstLine="567"/>
        <w:jc w:val="both"/>
        <w:keepLines/>
        <w:spacing w:before="0" w:after="0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</w:p>
    <w:p>
      <w:pPr>
        <w:pStyle w:val="1315"/>
        <w:numPr>
          <w:ilvl w:val="2"/>
          <w:numId w:val="4"/>
        </w:numPr>
        <w:ind w:left="0" w:firstLine="567"/>
        <w:keepLines/>
        <w:spacing w:line="240" w:lineRule="auto"/>
        <w:widowControl w:val="off"/>
        <w:tabs>
          <w:tab w:val="left" w:pos="709" w:leader="none"/>
          <w:tab w:val="left" w:pos="1134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Если Правительством Российской Федерации установлено предусмотренное п. 1.6.2. в) настоящего Приглашения преимущество в отношении товара российского происхождения: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315"/>
        <w:numPr>
          <w:ilvl w:val="0"/>
          <w:numId w:val="0"/>
        </w:numPr>
        <w:keepLines/>
        <w:spacing w:line="240" w:lineRule="auto"/>
        <w:widowControl w:val="off"/>
        <w:tabs>
          <w:tab w:val="left" w:pos="709" w:leader="none"/>
          <w:tab w:val="left" w:pos="1276" w:leader="none"/>
        </w:tabs>
      </w:pPr>
      <w:r>
        <w:rPr>
          <w:sz w:val="24"/>
          <w:szCs w:val="24"/>
        </w:rPr>
        <w:t xml:space="preserve">   а) при рассмотрении, оценке, сопоставлении заявок на участие в закупке, осуществляется снижение на 15 (пятнадцать) % (процентов) ценового предложения, поданного в соответствии с Законом 223-ФЗ и Стандартом участником зак</w:t>
      </w:r>
      <w:r>
        <w:rPr>
          <w:sz w:val="24"/>
          <w:szCs w:val="24"/>
        </w:rPr>
        <w:t xml:space="preserve">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договора; </w:t>
      </w:r>
      <w:r/>
    </w:p>
    <w:p>
      <w:pPr>
        <w:pStyle w:val="1315"/>
        <w:numPr>
          <w:ilvl w:val="0"/>
          <w:numId w:val="0"/>
        </w:numPr>
        <w:keepLines/>
        <w:spacing w:line="240" w:lineRule="auto"/>
        <w:widowControl w:val="off"/>
        <w:tabs>
          <w:tab w:val="left" w:pos="709" w:leader="none"/>
          <w:tab w:val="left" w:pos="1276" w:leader="none"/>
        </w:tabs>
      </w:pPr>
      <w:r>
        <w:rPr>
          <w:bCs/>
          <w:sz w:val="24"/>
          <w:szCs w:val="24"/>
        </w:rPr>
        <w:t xml:space="preserve">    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 </w:t>
      </w:r>
      <w:r/>
    </w:p>
    <w:p>
      <w:pPr>
        <w:pStyle w:val="1315"/>
        <w:numPr>
          <w:ilvl w:val="0"/>
          <w:numId w:val="0"/>
        </w:numPr>
        <w:keepLines/>
        <w:spacing w:line="240" w:lineRule="auto"/>
        <w:widowControl w:val="off"/>
        <w:tabs>
          <w:tab w:val="left" w:pos="709" w:leader="none"/>
          <w:tab w:val="left" w:pos="1276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315"/>
        <w:numPr>
          <w:ilvl w:val="0"/>
          <w:numId w:val="0"/>
        </w:numPr>
        <w:spacing w:line="240" w:lineRule="auto"/>
        <w:widowControl w:val="off"/>
        <w:tabs>
          <w:tab w:val="left" w:pos="709" w:leader="none"/>
          <w:tab w:val="left" w:pos="1620" w:leader="none"/>
        </w:tabs>
      </w:pPr>
      <w:r>
        <w:rPr>
          <w:bCs/>
          <w:sz w:val="24"/>
          <w:szCs w:val="24"/>
        </w:rPr>
        <w:t xml:space="preserve">         </w:t>
      </w:r>
      <w:r>
        <w:rPr>
          <w:sz w:val="24"/>
          <w:szCs w:val="24"/>
        </w:rPr>
        <w:t xml:space="preserve">1.6.7. Если Правительством Российской Федерации установлен предусмотренный п. 1.6.2. а) настоящего Приглашения запрет закупки работ, услуг, соответственно выполняемых, оказываемых иностранным лицом, не допускаются:</w:t>
      </w:r>
      <w:r/>
    </w:p>
    <w:p>
      <w:pPr>
        <w:pStyle w:val="1279"/>
        <w:ind w:firstLine="567"/>
        <w:jc w:val="both"/>
        <w:keepLines/>
        <w:spacing w:before="0" w:after="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а) заключение договора на выполнение такой работы, оказание такой услуги с подрядчиком (исполнителем), являющимся иностранным лицом;</w:t>
      </w:r>
      <w:r>
        <w:rPr>
          <w:rFonts w:ascii="Times New Roman" w:hAnsi="Times New Roman" w:cs="Times New Roman"/>
          <w:b w:val="0"/>
          <w:sz w:val="24"/>
          <w:szCs w:val="24"/>
        </w:rPr>
      </w:r>
      <w:r>
        <w:rPr>
          <w:rFonts w:ascii="Times New Roman" w:hAnsi="Times New Roman" w:cs="Times New Roman"/>
          <w:b w:val="0"/>
          <w:sz w:val="24"/>
          <w:szCs w:val="24"/>
        </w:rPr>
      </w:r>
    </w:p>
    <w:p>
      <w:pPr>
        <w:pStyle w:val="1279"/>
        <w:ind w:firstLine="567"/>
        <w:jc w:val="both"/>
        <w:keepLines/>
        <w:spacing w:before="0" w:after="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б) перемена подрядчика (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r>
        <w:rPr>
          <w:rFonts w:ascii="Times New Roman" w:hAnsi="Times New Roman" w:cs="Times New Roman"/>
          <w:b w:val="0"/>
          <w:sz w:val="24"/>
          <w:szCs w:val="24"/>
        </w:rPr>
      </w:r>
      <w:r>
        <w:rPr>
          <w:rFonts w:ascii="Times New Roman" w:hAnsi="Times New Roman" w:cs="Times New Roman"/>
          <w:b w:val="0"/>
          <w:sz w:val="24"/>
          <w:szCs w:val="24"/>
        </w:rPr>
      </w:r>
    </w:p>
    <w:p>
      <w:pPr>
        <w:pStyle w:val="1315"/>
        <w:numPr>
          <w:ilvl w:val="2"/>
          <w:numId w:val="5"/>
        </w:numPr>
        <w:ind w:left="0" w:firstLine="567"/>
        <w:spacing w:line="240" w:lineRule="auto"/>
        <w:widowControl w:val="off"/>
        <w:tabs>
          <w:tab w:val="left" w:pos="1134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Если Правительством Российской Федерации установлено предусмотренное подпунктом п. 1.6.2. б) настоящего Приглашения ограничение закупки работ, услуг, соответственно выполняемых, оказываемых иностранным лицом, не допускаются: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314"/>
        <w:numPr>
          <w:ilvl w:val="0"/>
          <w:numId w:val="0"/>
        </w:numPr>
        <w:keepLines/>
        <w:spacing w:line="240" w:lineRule="auto"/>
        <w:tabs>
          <w:tab w:val="left" w:pos="567" w:leader="none"/>
        </w:tabs>
      </w:pPr>
      <w:r>
        <w:rPr>
          <w:sz w:val="24"/>
          <w:szCs w:val="24"/>
        </w:rPr>
        <w:t xml:space="preserve">  а) заключение д</w:t>
      </w:r>
      <w:r>
        <w:rPr>
          <w:sz w:val="24"/>
          <w:szCs w:val="24"/>
        </w:rPr>
        <w:t xml:space="preserve">оговора с участником закупки, являющимся иностранным лицом, если российским лицом подана заявка на участие в закупке, признанная по результатам их рассмотрения соответствующими требованиям Стандарта, Приглашения о проведении закупки способом сравнения цен;</w:t>
      </w:r>
      <w:r/>
    </w:p>
    <w:p>
      <w:pPr>
        <w:pStyle w:val="1314"/>
        <w:numPr>
          <w:ilvl w:val="0"/>
          <w:numId w:val="0"/>
        </w:numPr>
        <w:keepLines/>
        <w:spacing w:line="240" w:lineRule="auto"/>
        <w:tabs>
          <w:tab w:val="left" w:pos="567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  б) перемена подрядчика (исполнителя) (в случае, если эта перем</w:t>
      </w:r>
      <w:r>
        <w:rPr>
          <w:sz w:val="24"/>
          <w:szCs w:val="24"/>
        </w:rPr>
        <w:t xml:space="preserve">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315"/>
        <w:numPr>
          <w:ilvl w:val="2"/>
          <w:numId w:val="5"/>
        </w:numPr>
        <w:ind w:left="0" w:firstLine="567"/>
        <w:spacing w:line="240" w:lineRule="auto"/>
        <w:widowControl w:val="off"/>
        <w:tabs>
          <w:tab w:val="left" w:pos="1134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Если Правительством Российской Федерации установлено предусмотренное 1.6.2. в) настоящего Приглашения преимущество в отношении работ, услуг, соответственно выполняемых, оказываемых российским лицом: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79"/>
        <w:ind w:firstLine="567"/>
        <w:jc w:val="both"/>
        <w:keepLines/>
        <w:spacing w:before="0" w:after="0"/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а) при рассмотрении, оценке, сопоставлении заявок на участие в закупке способом сравнения цен, осуществляется снижение на 15 (пятнадцать) % (процентов) ценового предлож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r/>
    </w:p>
    <w:p>
      <w:pPr>
        <w:pStyle w:val="1279"/>
        <w:jc w:val="both"/>
        <w:keepLines/>
        <w:spacing w:before="0" w:after="0"/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r/>
    </w:p>
    <w:p>
      <w:pPr>
        <w:pStyle w:val="1314"/>
        <w:numPr>
          <w:ilvl w:val="0"/>
          <w:numId w:val="0"/>
        </w:numPr>
        <w:spacing w:line="240" w:lineRule="auto"/>
        <w:tabs>
          <w:tab w:val="left" w:pos="851" w:leader="none"/>
        </w:tabs>
      </w:pPr>
      <w:r>
        <w:rPr>
          <w:sz w:val="24"/>
          <w:szCs w:val="24"/>
        </w:rPr>
        <w:t xml:space="preserve">      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r/>
    </w:p>
    <w:p>
      <w:pPr>
        <w:pStyle w:val="1276"/>
        <w:numPr>
          <w:ilvl w:val="1"/>
          <w:numId w:val="7"/>
        </w:numPr>
        <w:ind w:left="0" w:firstLine="567"/>
        <w:jc w:val="both"/>
        <w:keepNext/>
        <w:tabs>
          <w:tab w:val="left" w:pos="142" w:leader="none"/>
          <w:tab w:val="center" w:pos="1134" w:leader="none"/>
        </w:tabs>
        <w:outlineLvl w:val="1"/>
      </w:pPr>
      <w:r>
        <w:t xml:space="preserve"> Во всем, что не урегулировано приглашением к участию в закупке способом сравнения цен 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  <w:r/>
    </w:p>
    <w:p>
      <w:pPr>
        <w:pStyle w:val="1276"/>
        <w:jc w:val="both"/>
        <w:keepNext/>
        <w:tabs>
          <w:tab w:val="left" w:pos="142" w:leader="none"/>
          <w:tab w:val="center" w:pos="1134" w:leader="none"/>
        </w:tabs>
        <w:outlineLvl w:val="1"/>
      </w:pPr>
      <w:r/>
      <w:r/>
    </w:p>
    <w:p>
      <w:pPr>
        <w:pStyle w:val="1276"/>
        <w:numPr>
          <w:ilvl w:val="0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  <w:outlineLvl w:val="0"/>
      </w:pPr>
      <w:r>
        <w:t xml:space="preserve">ТРЕБОВАНИЯ К СВЕДЕНИЯМ И ДОКУМЕНТАМ, ПРЕДСТАВЛЯЕМЫМ В СОСТАВЕ ЗАЯВКИ УЧАСТНИКА ЗАКУПКИ, ТРЕБОВАНИЯ К УЧАСТНИКАМ ЗАКУПКИ, ПОДАЧЕ ЗАЯВКИ</w:t>
      </w:r>
      <w:r/>
    </w:p>
    <w:p>
      <w:pPr>
        <w:pStyle w:val="1276"/>
        <w:numPr>
          <w:ilvl w:val="1"/>
          <w:numId w:val="7"/>
        </w:numPr>
        <w:ind w:left="0" w:firstLine="567"/>
        <w:jc w:val="both"/>
        <w:keepNext/>
        <w:tabs>
          <w:tab w:val="left" w:pos="142" w:leader="none"/>
          <w:tab w:val="center" w:pos="1134" w:leader="none"/>
        </w:tabs>
        <w:rPr>
          <w:b/>
        </w:rPr>
        <w:outlineLvl w:val="1"/>
      </w:pPr>
      <w:r/>
      <w:bookmarkStart w:id="3" w:name="_Toc5718770"/>
      <w:r>
        <w:rPr>
          <w:b/>
        </w:rPr>
        <w:t xml:space="preserve">Требования к оформлению заявки </w:t>
      </w:r>
      <w:bookmarkEnd w:id="3"/>
      <w:r>
        <w:rPr>
          <w:b/>
        </w:rPr>
      </w:r>
      <w:r>
        <w:rPr>
          <w:b/>
        </w:rPr>
      </w:r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/>
      <w:bookmarkStart w:id="4" w:name="_Ref166246797"/>
      <w: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</w:t>
      </w:r>
      <w:r>
        <w:t xml:space="preserve">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</w:t>
      </w:r>
      <w:r>
        <w:t xml:space="preserve">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 признания заявки не соотв</w:t>
      </w:r>
      <w:r>
        <w:t xml:space="preserve">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  <w:r/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Участник </w:t>
      </w:r>
      <w:r>
        <w:rPr>
          <w:bCs/>
        </w:rPr>
        <w:t xml:space="preserve">закупки </w:t>
      </w:r>
      <w:r>
        <w:t xml:space="preserve">готовит заявку на участие в закупке в соответствии с требованиями разде</w:t>
      </w:r>
      <w:r>
        <w:t xml:space="preserve">ла 2 «ТРЕБОВАНИЯ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 документов, установленными разделом 5 «ОБРАЗЦЫ ФОРМ ДЛЯ ЗАПОЛНЕНИЯ УЧАСТНИКАМИ ЗАКУПКИ».</w:t>
      </w:r>
      <w:bookmarkEnd w:id="4"/>
      <w:r>
        <w:t xml:space="preserve"> Срок действия заявки не должен быть менее, чем 30 календарных дней со дня, следующего за днем окончания подачи заявок, указанном в приглашении к участию в закупке способом сравнения цен.</w:t>
      </w:r>
      <w:r/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rPr>
          <w:rFonts w:eastAsia="Calibri"/>
        </w:rPr>
        <w:t xml:space="preserve">При проведении закупки в неэлектронной форме</w:t>
      </w:r>
      <w:r>
        <w:t xml:space="preserve"> допускается параллельное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</w:t>
      </w:r>
      <w:r>
        <w:t xml:space="preserve">я организационных вопросов. Инициатор должен обеспечить хранение данных о переписке с участником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  <w:r/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Заявки предоставляются в отсканированном виде, позволяющем осуществить распознавание текста заявки. Файлы документов заявки не должны быть повреждены.</w:t>
      </w:r>
      <w:r/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Сведения, которые содержатся в заявках участников </w:t>
      </w:r>
      <w:r>
        <w:rPr>
          <w:bCs/>
        </w:rPr>
        <w:t xml:space="preserve">закупки</w:t>
      </w:r>
      <w:r>
        <w:t xml:space="preserve">, не должны допускать двусмысленных толкований.</w:t>
      </w:r>
      <w:r/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/>
      <w:bookmarkStart w:id="5" w:name="_Ref11475563"/>
      <w:r>
        <w:t xml:space="preserve">Если в документах, входящих в состав заявки, </w:t>
      </w:r>
      <w:bookmarkEnd w:id="5"/>
      <w:r>
        <w:t xml:space="preserve">имеются расхождения между обозначением сумм прописью и цифрами, то принимается к рассмотрению сумма, указанная прописью.</w:t>
      </w:r>
      <w:r/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</w:t>
      </w:r>
      <w:r>
        <w:t xml:space="preserve">нных подписью уполномоченного лица. Все документы, входящие в состав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</w:t>
      </w:r>
      <w:r>
        <w:t xml:space="preserve">енным им лицом на основании доверенности. В последнем случае доверенность прикладывается к заявке. Если уполномоченное лицо заверяет своей подписью подлинность копий документов, подаваемых в составе заявки, то такое право заверения подлинности документов д</w:t>
      </w:r>
      <w:r>
        <w:t xml:space="preserve">олжно быть также указано в такой доверенности. Все документы, входящие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  <w:r/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Все документы, представляемые участниками </w:t>
      </w:r>
      <w:r>
        <w:rPr>
          <w:bCs/>
        </w:rPr>
        <w:t xml:space="preserve">закупки </w:t>
      </w:r>
      <w:r>
        <w:t xml:space="preserve">в составе заявки на участие в закупке, должны быть заполнены по всем пунктам, за исключением пунктов, носящих рекомендательный характер.</w:t>
      </w:r>
      <w:r/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Заказчик обеспечивает разумную конфиденциальность относительно всех полученных от участников закупк</w:t>
      </w:r>
      <w:r>
        <w:t xml:space="preserve">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  <w:r/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Инструкции по заполнению форм настоящего приглашения к участию в закупке сп</w:t>
      </w:r>
      <w:r>
        <w:t xml:space="preserve">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электронной форме с использованием функционала ЭТП.</w:t>
      </w:r>
      <w:r/>
    </w:p>
    <w:p>
      <w:pPr>
        <w:pStyle w:val="1276"/>
        <w:ind w:left="567"/>
        <w:jc w:val="both"/>
        <w:tabs>
          <w:tab w:val="left" w:pos="142" w:leader="none"/>
          <w:tab w:val="center" w:pos="1134" w:leader="none"/>
        </w:tabs>
      </w:pPr>
      <w:r/>
      <w:r/>
    </w:p>
    <w:p>
      <w:pPr>
        <w:pStyle w:val="1276"/>
        <w:numPr>
          <w:ilvl w:val="1"/>
          <w:numId w:val="7"/>
        </w:numPr>
        <w:ind w:left="0" w:firstLine="567"/>
        <w:jc w:val="both"/>
        <w:keepNext/>
        <w:tabs>
          <w:tab w:val="left" w:pos="142" w:leader="none"/>
          <w:tab w:val="center" w:pos="1134" w:leader="none"/>
        </w:tabs>
        <w:rPr>
          <w:b/>
        </w:rPr>
        <w:outlineLvl w:val="1"/>
      </w:pPr>
      <w:r/>
      <w:bookmarkStart w:id="6" w:name="_Toc5718771"/>
      <w:r/>
      <w:bookmarkStart w:id="7" w:name="_Toc387652312"/>
      <w:r/>
      <w:bookmarkStart w:id="8" w:name="_Toc123405469"/>
      <w:r>
        <w:rPr>
          <w:b/>
        </w:rPr>
        <w:t xml:space="preserve">Язык документов, входящих в состав заявки </w:t>
      </w:r>
      <w:bookmarkEnd w:id="6"/>
      <w:r/>
      <w:bookmarkEnd w:id="7"/>
      <w:r/>
      <w:bookmarkEnd w:id="8"/>
      <w:r>
        <w:rPr>
          <w:b/>
        </w:rPr>
      </w:r>
      <w:r>
        <w:rPr>
          <w:b/>
        </w:rPr>
      </w:r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Заявка должна быть подготовлена на русском языке за исключением нижеследующего. </w:t>
      </w:r>
      <w:r/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</w:t>
      </w:r>
      <w:r>
        <w:t xml:space="preserve">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9" w:name="_Toc518119272"/>
      <w:r/>
      <w:r/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rPr>
          <w:bCs/>
        </w:rPr>
        <w:t xml:space="preserve">Рассмотрению не подлежат документы, не переведенные на русский язык</w:t>
      </w:r>
      <w:r>
        <w:t xml:space="preserve">. </w:t>
      </w:r>
      <w:bookmarkEnd w:id="9"/>
      <w:r/>
      <w:r/>
    </w:p>
    <w:p>
      <w:pPr>
        <w:pStyle w:val="1276"/>
        <w:numPr>
          <w:ilvl w:val="1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  <w:rPr>
          <w:b/>
        </w:rPr>
        <w:outlineLvl w:val="1"/>
      </w:pPr>
      <w:r/>
      <w:bookmarkStart w:id="10" w:name="_Toc5718772"/>
      <w:r>
        <w:rPr>
          <w:b/>
        </w:rPr>
        <w:t xml:space="preserve">Требования к валюте </w:t>
      </w:r>
      <w:bookmarkEnd w:id="10"/>
      <w:r>
        <w:rPr>
          <w:b/>
        </w:rPr>
        <w:t xml:space="preserve">заявки</w:t>
      </w:r>
      <w:r>
        <w:rPr>
          <w:b/>
        </w:rPr>
      </w:r>
      <w:r>
        <w:rPr>
          <w:b/>
        </w:rPr>
      </w:r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/>
      <w:bookmarkStart w:id="11" w:name="_Hlt517806775"/>
      <w:r/>
      <w:bookmarkEnd w:id="11"/>
      <w:r/>
      <w:bookmarkStart w:id="12" w:name="_Ref52534291"/>
      <w:r>
        <w:t xml:space="preserve">Все суммы денежных средств в документах, входящих в состав заявки, должны быть выражены в российских рублях (если иное не установлено в приглашении к участию в закупке способом сравнения цен) за исключением нижеследующего.</w:t>
      </w:r>
      <w:bookmarkEnd w:id="12"/>
      <w:r/>
      <w:r/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/>
      <w:bookmarkStart w:id="13" w:name="_Toc518119275"/>
      <w:r>
        <w:t xml:space="preserve"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</w:t>
      </w:r>
      <w:r>
        <w:t xml:space="preserve">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13"/>
      <w:r/>
      <w:r/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 валюты.</w:t>
      </w:r>
      <w:r/>
    </w:p>
    <w:p>
      <w:pPr>
        <w:pStyle w:val="1276"/>
        <w:numPr>
          <w:ilvl w:val="1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  <w:rPr>
          <w:b/>
        </w:rPr>
        <w:outlineLvl w:val="1"/>
      </w:pPr>
      <w:r/>
      <w:bookmarkStart w:id="14" w:name="_Ref119430333"/>
      <w:r/>
      <w:bookmarkStart w:id="15" w:name="_Ref119429784"/>
      <w:r/>
      <w:bookmarkStart w:id="16" w:name="_Toc5718773"/>
      <w:r/>
      <w:bookmarkStart w:id="17" w:name="_Ref119429817"/>
      <w:r/>
      <w:bookmarkStart w:id="18" w:name="_Toc123405470"/>
      <w:r>
        <w:rPr>
          <w:b/>
        </w:rPr>
        <w:t xml:space="preserve">Требования к составу заявки </w:t>
      </w:r>
      <w:bookmarkEnd w:id="14"/>
      <w:r/>
      <w:bookmarkEnd w:id="15"/>
      <w:r/>
      <w:bookmarkEnd w:id="16"/>
      <w:r/>
      <w:bookmarkEnd w:id="17"/>
      <w:r/>
      <w:bookmarkEnd w:id="18"/>
      <w:r>
        <w:rPr>
          <w:b/>
        </w:rPr>
      </w:r>
      <w:r>
        <w:rPr>
          <w:b/>
        </w:rPr>
      </w:r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/>
      <w:bookmarkStart w:id="19" w:name="_Ref166243143"/>
      <w:r>
        <w:t xml:space="preserve">Заявка на участие должна содержать сведения и документы, указанные в </w:t>
      </w:r>
      <w:bookmarkEnd w:id="19"/>
      <w:r>
        <w:rPr>
          <w:bCs/>
        </w:rPr>
        <w:t xml:space="preserve">настоящем приглашении</w:t>
      </w:r>
      <w:r>
        <w:t xml:space="preserve">. </w:t>
      </w:r>
      <w:r/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/>
      <w:bookmarkStart w:id="20" w:name="_Ref166316209"/>
      <w:r>
        <w:t xml:space="preserve">В случае 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20"/>
      <w:r/>
      <w:r/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цен. </w:t>
      </w:r>
      <w:r/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Помимо сведений и документов, установле</w:t>
      </w:r>
      <w:r>
        <w:t xml:space="preserve">нных настоящим приглашением,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  <w:r/>
    </w:p>
    <w:p>
      <w:pPr>
        <w:pStyle w:val="1276"/>
        <w:numPr>
          <w:ilvl w:val="1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  <w:rPr>
          <w:b/>
        </w:rPr>
        <w:outlineLvl w:val="1"/>
      </w:pPr>
      <w:r/>
      <w:bookmarkStart w:id="21" w:name="_Toc286523204"/>
      <w:r/>
      <w:bookmarkEnd w:id="21"/>
      <w:r/>
      <w:bookmarkStart w:id="22" w:name="_Toc123405471"/>
      <w:r/>
      <w:bookmarkEnd w:id="22"/>
      <w:r/>
      <w:bookmarkStart w:id="23" w:name="_Toc123405472"/>
      <w:r/>
      <w:bookmarkStart w:id="24" w:name="_Toc5718774"/>
      <w:r>
        <w:rPr>
          <w:b/>
        </w:rPr>
        <w:t xml:space="preserve">Требования к описанию </w:t>
      </w:r>
      <w:bookmarkEnd w:id="23"/>
      <w:r>
        <w:rPr>
          <w:b/>
        </w:rPr>
        <w:t xml:space="preserve">заявки участника закупки</w:t>
      </w:r>
      <w:bookmarkEnd w:id="24"/>
      <w:r>
        <w:rPr>
          <w:b/>
        </w:rPr>
      </w:r>
      <w:r>
        <w:rPr>
          <w:b/>
        </w:rPr>
      </w:r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/>
      <w:bookmarkStart w:id="25" w:name="_Toc286523204_Копия_1"/>
      <w:r/>
      <w:bookmarkEnd w:id="25"/>
      <w:r/>
      <w:bookmarkStart w:id="26" w:name="_Toc123405471_Копия_1"/>
      <w:r/>
      <w:bookmarkEnd w:id="26"/>
      <w:r>
        <w:t xml:space="preserve">Цена договора, предлагаемая участником зак</w:t>
      </w:r>
      <w:r>
        <w:t xml:space="preserve">упки, должна быть рассчитана с учетом требований п. 1.4 Приглашения к участию в закупке способом сравнения цен и не может превышать начальную (максимальную) цену договора (НМЦ) (цену лота), указанную в приглашении к участию в закупке способом сравнения цен</w:t>
      </w:r>
      <w:r>
        <w:t xml:space="preserve">.</w:t>
      </w:r>
      <w:r/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</w:t>
      </w:r>
      <w:r>
        <w:t xml:space="preserve">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>
        <w:rPr>
          <w:bCs/>
        </w:rPr>
        <w:t xml:space="preserve"> если иное не установлено, </w:t>
      </w:r>
      <w:r>
        <w:t xml:space="preserve">заявка участника не должна превышать единичные расценки либо отдельные стоимостные позиции соответственно.</w:t>
      </w:r>
      <w:r/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Цена договора должна включать </w:t>
      </w:r>
      <w:r>
        <w:rPr>
          <w:rFonts w:eastAsia="Calibri"/>
          <w:bCs/>
        </w:rPr>
        <w:t xml:space="preserve"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>
        <w:t xml:space="preserve">, если иное не установлено приглашением к участию в закупке способом сравнения цен.</w:t>
      </w:r>
      <w:r/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Участник закупки должен принять во внимание, что, если иное не установлено приглашением </w:t>
      </w:r>
      <w:r>
        <w:t xml:space="preserve">к участию в закупке способом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</w:t>
      </w:r>
      <w:r>
        <w:t xml:space="preserve">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  <w:r/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  <w:rPr>
          <w:color w:val="000000"/>
        </w:rPr>
      </w:pPr>
      <w: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</w:t>
      </w:r>
      <w:r>
        <w:rPr>
          <w:color w:val="000000"/>
        </w:rPr>
        <w:t xml:space="preserve">представление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  <w:r>
        <w:rPr>
          <w:color w:val="000000"/>
        </w:rPr>
      </w:r>
      <w:r>
        <w:rPr>
          <w:color w:val="000000"/>
        </w:rPr>
      </w:r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  <w:rPr>
          <w:color w:val="000000"/>
        </w:rPr>
      </w:pPr>
      <w:r>
        <w:rPr>
          <w:color w:val="000000"/>
        </w:rPr>
        <w:t xml:space="preserve">В случае, если в приложении №1 к приглашению к участию в закупке способом сравнения цен указаны товарные знаки, знаки обслуживания, патенты, полезные модели, промышленные образцы, наименования мест происхождения товара или наименования произв</w:t>
      </w:r>
      <w:r>
        <w:rPr>
          <w:color w:val="000000"/>
        </w:rPr>
        <w:t xml:space="preserve">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  <w:r>
        <w:rPr>
          <w:color w:val="000000"/>
        </w:rPr>
      </w:r>
      <w:r>
        <w:rPr>
          <w:color w:val="000000"/>
        </w:rPr>
      </w:r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  <w:rPr>
          <w:b/>
          <w:bCs/>
        </w:rPr>
      </w:pPr>
      <w:r>
        <w:rPr>
          <w:color w:val="000000"/>
        </w:rPr>
        <w:t xml:space="preserve">При описании продукции участник процедуры закупки должен использовать общеизвестные (стандартные</w:t>
      </w:r>
      <w:r>
        <w:t xml:space="preserve">) показатели, термины и сокращения в соответствии с законодательством и требованиями настоящего приглашения.</w:t>
      </w:r>
      <w:r>
        <w:rPr>
          <w:b/>
          <w:bCs/>
        </w:rPr>
      </w:r>
      <w:r>
        <w:rPr>
          <w:b/>
          <w:bCs/>
        </w:rPr>
      </w:r>
    </w:p>
    <w:p>
      <w:pPr>
        <w:pStyle w:val="1276"/>
        <w:numPr>
          <w:ilvl w:val="1"/>
          <w:numId w:val="7"/>
        </w:numPr>
        <w:ind w:left="0" w:firstLine="567"/>
        <w:jc w:val="both"/>
        <w:keepNext/>
        <w:tabs>
          <w:tab w:val="left" w:pos="142" w:leader="none"/>
          <w:tab w:val="center" w:pos="1134" w:leader="none"/>
        </w:tabs>
        <w:rPr>
          <w:b/>
        </w:rPr>
        <w:outlineLvl w:val="1"/>
      </w:pPr>
      <w:r>
        <w:rPr>
          <w:b/>
        </w:rPr>
        <w:t xml:space="preserve">Участники закупки</w:t>
      </w:r>
      <w:r>
        <w:rPr>
          <w:b/>
        </w:rPr>
      </w:r>
      <w:r>
        <w:rPr>
          <w:b/>
        </w:rPr>
      </w:r>
    </w:p>
    <w:p>
      <w:pPr>
        <w:pStyle w:val="1276"/>
        <w:ind w:firstLine="567"/>
        <w:jc w:val="both"/>
        <w:tabs>
          <w:tab w:val="left" w:pos="142" w:leader="none"/>
          <w:tab w:val="left" w:pos="709" w:leader="none"/>
          <w:tab w:val="left" w:pos="851" w:leader="none"/>
          <w:tab w:val="center" w:pos="1134" w:leader="none"/>
        </w:tabs>
      </w:pPr>
      <w:r>
        <w:t xml:space="preserve">2.6.1.</w:t>
        <w:tab/>
        <w:t xml:space="preserve"> Участником закупки может быть любое юридическое лицо или физическое лицо, в том числе индивидуальный предприниматель.</w:t>
      </w:r>
      <w:r/>
    </w:p>
    <w:p>
      <w:pPr>
        <w:pStyle w:val="1276"/>
        <w:numPr>
          <w:ilvl w:val="1"/>
          <w:numId w:val="7"/>
        </w:numPr>
        <w:ind w:left="0" w:firstLine="567"/>
        <w:jc w:val="both"/>
        <w:keepNext/>
        <w:tabs>
          <w:tab w:val="left" w:pos="142" w:leader="none"/>
          <w:tab w:val="center" w:pos="1134" w:leader="none"/>
        </w:tabs>
        <w:rPr>
          <w:b/>
        </w:rPr>
        <w:outlineLvl w:val="1"/>
      </w:pPr>
      <w:r>
        <w:rPr>
          <w:b/>
        </w:rPr>
        <w:t xml:space="preserve">Требования к участникам закупки</w:t>
      </w:r>
      <w:r>
        <w:rPr>
          <w:b/>
        </w:rPr>
      </w:r>
      <w:r>
        <w:rPr>
          <w:b/>
        </w:rPr>
      </w:r>
    </w:p>
    <w:p>
      <w:pPr>
        <w:pStyle w:val="1276"/>
        <w:ind w:firstLine="567"/>
        <w:jc w:val="both"/>
        <w:tabs>
          <w:tab w:val="left" w:pos="142" w:leader="none"/>
          <w:tab w:val="left" w:pos="709" w:leader="none"/>
          <w:tab w:val="left" w:pos="851" w:leader="none"/>
          <w:tab w:val="center" w:pos="1134" w:leader="none"/>
        </w:tabs>
      </w:pPr>
      <w:r>
        <w:t xml:space="preserve">2.7.1.</w:t>
        <w:tab/>
        <w:t xml:space="preserve">Чтобы претендовать на победу в закупке и получения права заключить договор, участник закупки должен отвечать следующим требованиям:</w:t>
      </w:r>
      <w:r/>
    </w:p>
    <w:p>
      <w:pPr>
        <w:pStyle w:val="1276"/>
        <w:numPr>
          <w:ilvl w:val="0"/>
          <w:numId w:val="10"/>
        </w:numPr>
        <w:ind w:left="0" w:firstLine="567"/>
        <w:jc w:val="both"/>
        <w:tabs>
          <w:tab w:val="left" w:pos="0" w:leader="none"/>
          <w:tab w:val="left" w:pos="851" w:leader="none"/>
        </w:tabs>
        <w:rPr>
          <w:bCs/>
        </w:rPr>
      </w:pPr>
      <w:r>
        <w:rPr>
          <w:bCs/>
          <w:color w:val="000000"/>
        </w:rPr>
        <w:t xml:space="preserve">должен </w:t>
      </w:r>
      <w:r>
        <w:rPr>
          <w:bCs/>
        </w:rPr>
        <w:t xml:space="preserve"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  <w:r>
        <w:rPr>
          <w:bCs/>
        </w:rPr>
      </w:r>
      <w:r>
        <w:rPr>
          <w:bCs/>
        </w:rPr>
      </w:r>
    </w:p>
    <w:p>
      <w:pPr>
        <w:pStyle w:val="1276"/>
        <w:numPr>
          <w:ilvl w:val="0"/>
          <w:numId w:val="11"/>
        </w:numPr>
        <w:ind w:left="0" w:firstLine="567"/>
        <w:jc w:val="both"/>
        <w:tabs>
          <w:tab w:val="left" w:pos="0" w:leader="none"/>
          <w:tab w:val="left" w:pos="851" w:leader="none"/>
        </w:tabs>
        <w:rPr>
          <w:bCs/>
        </w:rPr>
      </w:pPr>
      <w:r>
        <w:rPr>
          <w:bCs/>
        </w:rPr>
        <w:t xml:space="preserve"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трудовые, метериально-технические) (если необходимо); </w:t>
      </w:r>
      <w:r>
        <w:rPr>
          <w:bCs/>
        </w:rPr>
      </w:r>
      <w:r>
        <w:rPr>
          <w:bCs/>
        </w:rPr>
      </w:r>
    </w:p>
    <w:p>
      <w:pPr>
        <w:pStyle w:val="1276"/>
        <w:numPr>
          <w:ilvl w:val="0"/>
          <w:numId w:val="11"/>
        </w:numPr>
        <w:ind w:left="0" w:firstLine="567"/>
        <w:jc w:val="both"/>
        <w:tabs>
          <w:tab w:val="left" w:pos="142" w:leader="none"/>
          <w:tab w:val="left" w:pos="851" w:leader="none"/>
        </w:tabs>
        <w:rPr>
          <w:bCs/>
          <w:color w:val="000000"/>
        </w:rPr>
      </w:pPr>
      <w:r>
        <w:rPr>
          <w:bCs/>
        </w:rPr>
        <w:t xml:space="preserve">не </w:t>
      </w:r>
      <w:r>
        <w:rPr>
          <w:bCs/>
          <w:color w:val="000000"/>
        </w:rPr>
        <w:t xml:space="preserve">должен находиться в процессе ликвидации; должно отсутствовать вступившее в законную силу решение арбитраж</w:t>
      </w:r>
      <w:r>
        <w:rPr>
          <w:bCs/>
          <w:color w:val="000000"/>
        </w:rPr>
        <w:t xml:space="preserve">ного суда о признании участника закупки банкротом и об открытии конкурсного производства; на имущество участника, в части существенной для исполнения Договора, не должен быть наложен арест; экономическая деятельность участника не должна быть приостановлена</w:t>
      </w:r>
      <w:r>
        <w:rPr>
          <w:rStyle w:val="1294"/>
          <w:bCs/>
          <w:color w:val="000000"/>
        </w:rPr>
        <w:footnoteReference w:id="2"/>
      </w:r>
      <w:r>
        <w:rPr>
          <w:bCs/>
          <w:color w:val="000000"/>
        </w:rPr>
        <w:t xml:space="preserve">(для юридического лица, индивидуального предпринимателя);</w:t>
      </w:r>
      <w:r>
        <w:rPr>
          <w:bCs/>
          <w:color w:val="000000"/>
        </w:rPr>
      </w:r>
      <w:r>
        <w:rPr>
          <w:bCs/>
          <w:color w:val="000000"/>
        </w:rPr>
      </w:r>
    </w:p>
    <w:p>
      <w:pPr>
        <w:pStyle w:val="1276"/>
        <w:ind w:firstLine="567"/>
        <w:jc w:val="both"/>
        <w:tabs>
          <w:tab w:val="left" w:pos="0" w:leader="none"/>
          <w:tab w:val="left" w:pos="851" w:leader="none"/>
        </w:tabs>
        <w:rPr>
          <w:bCs/>
        </w:rPr>
      </w:pPr>
      <w:r>
        <w:t xml:space="preserve">2.7.2.</w:t>
      </w:r>
      <w:r>
        <w:rPr>
          <w:bCs/>
        </w:rPr>
        <w:t xml:space="preserve"> Дополнительно к требованиям пункта 2.7.1. </w:t>
      </w:r>
      <w:r>
        <w:t xml:space="preserve">участники закупочных процедур на выполнение ПИР, СМР, ПНР, предоставление оборудование, в том числе «под ключ» должны соответствовать следующим </w:t>
      </w:r>
      <w:r>
        <w:rPr>
          <w:bCs/>
        </w:rPr>
        <w:t xml:space="preserve">требованиями:</w:t>
      </w:r>
      <w:r>
        <w:rPr>
          <w:bCs/>
        </w:rPr>
      </w:r>
      <w:r>
        <w:rPr>
          <w:bCs/>
        </w:rPr>
      </w:r>
    </w:p>
    <w:p>
      <w:pPr>
        <w:pStyle w:val="1276"/>
        <w:ind w:firstLine="567"/>
        <w:jc w:val="both"/>
        <w:tabs>
          <w:tab w:val="left" w:pos="0" w:leader="none"/>
          <w:tab w:val="left" w:pos="851" w:leader="none"/>
        </w:tabs>
        <w:rPr>
          <w:bCs/>
        </w:rPr>
      </w:pPr>
      <w:r>
        <w:rPr>
          <w:bCs/>
        </w:rPr>
        <w:t xml:space="preserve">а) т</w:t>
      </w:r>
      <w:r>
        <w:rPr>
          <w:bCs/>
          <w:szCs w:val="16"/>
        </w:rPr>
        <w:t xml:space="preserve">олько для закупок с  наличием в предмете закупки проект</w:t>
      </w:r>
      <w:r>
        <w:rPr>
          <w:bCs/>
          <w:szCs w:val="16"/>
        </w:rPr>
        <w:t xml:space="preserve">ных и / или изыскательских работ: участник должен состоять в Саморегулируемой организации, дающей право выполнять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</w:t>
      </w:r>
      <w:r>
        <w:rPr>
          <w:bCs/>
          <w:szCs w:val="16"/>
        </w:rPr>
        <w:t xml:space="preserve">ие работы), с обязательным внесением взносов в компенсационные фонды возмещения вреда и обеспечения договорных обязательств в размере, обеспечивающем (с учетом ранее заключенных и действующих на дату проведения закупочной процедуры договоров) уровень ответ</w:t>
      </w:r>
      <w:r>
        <w:rPr>
          <w:bCs/>
          <w:szCs w:val="16"/>
        </w:rPr>
        <w:t xml:space="preserve">ственности, достаточный для заключения договора на сумму не менее предложенной участником по данной закупке (п. 2 ст. 52, п.3 ст. 55.8 ГРК РФ). Подтверждением членства в СРО является выписка из Единого реестра сведений о членах саморегулируемых организаций</w:t>
      </w:r>
      <w:r>
        <w:rPr>
          <w:rStyle w:val="1294"/>
          <w:b/>
          <w:bCs/>
          <w:szCs w:val="16"/>
        </w:rPr>
        <w:footnoteReference w:id="3"/>
      </w:r>
      <w:r>
        <w:rPr>
          <w:bCs/>
          <w:szCs w:val="16"/>
        </w:rPr>
        <w:t xml:space="preserve">;</w:t>
      </w:r>
      <w:r>
        <w:rPr>
          <w:bCs/>
        </w:rPr>
      </w:r>
      <w:r>
        <w:rPr>
          <w:bCs/>
        </w:rPr>
      </w:r>
    </w:p>
    <w:p>
      <w:pPr>
        <w:pStyle w:val="1276"/>
        <w:ind w:firstLine="567"/>
        <w:jc w:val="both"/>
        <w:keepLines/>
        <w:keepNext/>
        <w:widowControl w:val="off"/>
        <w:tabs>
          <w:tab w:val="left" w:pos="250" w:leader="none"/>
        </w:tabs>
        <w:rPr>
          <w:bCs/>
          <w:szCs w:val="16"/>
        </w:rPr>
        <w:outlineLvl w:val="0"/>
      </w:pPr>
      <w:r>
        <w:rPr>
          <w:bCs/>
        </w:rPr>
        <w:t xml:space="preserve">б) н</w:t>
      </w:r>
      <w:r>
        <w:rPr>
          <w:bCs/>
          <w:szCs w:val="16"/>
        </w:rPr>
        <w:t xml:space="preserve">аличие документов по охране труда в соответствии с Приказом Минтруда России от 15.12.2020 N 903н "Об утверждении Правил по о</w:t>
      </w:r>
      <w:r>
        <w:rPr>
          <w:bCs/>
          <w:szCs w:val="16"/>
        </w:rPr>
        <w:t xml:space="preserve">хране труда при эксплуатации электроустановок", ст. 212 Трудового кодекса РФ и перечнем Регламента допуска персонала организаций для выполнения работ на объектах ПАО «Россети Московский регион», в т.ч. и для привлекаемых участником основных субподрядчиков;</w:t>
      </w:r>
      <w:r>
        <w:rPr>
          <w:bCs/>
          <w:szCs w:val="16"/>
        </w:rPr>
      </w:r>
      <w:r>
        <w:rPr>
          <w:bCs/>
          <w:szCs w:val="16"/>
        </w:rPr>
      </w:r>
    </w:p>
    <w:p>
      <w:pPr>
        <w:pStyle w:val="1276"/>
        <w:ind w:firstLine="567"/>
        <w:jc w:val="both"/>
        <w:keepLines/>
        <w:keepNext/>
        <w:widowControl w:val="off"/>
        <w:tabs>
          <w:tab w:val="left" w:pos="250" w:leader="none"/>
        </w:tabs>
        <w:rPr>
          <w:bCs/>
        </w:rPr>
        <w:outlineLvl w:val="0"/>
      </w:pPr>
      <w:r>
        <w:rPr>
          <w:bCs/>
          <w:szCs w:val="16"/>
        </w:rPr>
        <w:t xml:space="preserve">в) с</w:t>
      </w:r>
      <w:r>
        <w:rPr>
          <w:bCs/>
        </w:rPr>
        <w:t xml:space="preserve">оответствие объемов и номенклатуры работ требованиям ТЗ, в т.ч. соответствие сметного расчета утвержденной ПСД</w:t>
      </w:r>
      <w:r>
        <w:rPr>
          <w:rStyle w:val="1294"/>
          <w:b/>
          <w:bCs/>
        </w:rPr>
        <w:footnoteReference w:id="4"/>
      </w:r>
      <w:r>
        <w:rPr>
          <w:bCs/>
        </w:rPr>
        <w:t xml:space="preserve"> и требованиям по порядку формирования договорной цены. Непревышение ценовых лимитов ТЗ;</w:t>
      </w:r>
      <w:r>
        <w:rPr>
          <w:bCs/>
        </w:rPr>
      </w:r>
      <w:r>
        <w:rPr>
          <w:bCs/>
        </w:rPr>
      </w:r>
    </w:p>
    <w:p>
      <w:pPr>
        <w:pStyle w:val="1276"/>
        <w:ind w:firstLine="567"/>
        <w:jc w:val="both"/>
        <w:keepLines/>
        <w:keepNext/>
        <w:widowControl w:val="off"/>
        <w:tabs>
          <w:tab w:val="left" w:pos="250" w:leader="none"/>
        </w:tabs>
        <w:rPr>
          <w:bCs/>
        </w:rPr>
        <w:outlineLvl w:val="0"/>
      </w:pPr>
      <w:r>
        <w:rPr>
          <w:bCs/>
          <w:szCs w:val="16"/>
        </w:rPr>
        <w:t xml:space="preserve">г) с</w:t>
      </w:r>
      <w:r>
        <w:rPr>
          <w:bCs/>
        </w:rPr>
        <w:t xml:space="preserve">оответствие сроков выполнения работ требованиям ТЗ;</w:t>
      </w:r>
      <w:r>
        <w:rPr>
          <w:bCs/>
        </w:rPr>
      </w:r>
      <w:r>
        <w:rPr>
          <w:bCs/>
        </w:rPr>
      </w:r>
    </w:p>
    <w:p>
      <w:pPr>
        <w:pStyle w:val="1276"/>
        <w:ind w:left="720" w:hanging="153"/>
        <w:jc w:val="both"/>
        <w:keepLines/>
        <w:keepNext/>
        <w:widowControl w:val="off"/>
        <w:tabs>
          <w:tab w:val="left" w:pos="250" w:leader="none"/>
        </w:tabs>
        <w:rPr>
          <w:bCs/>
        </w:rPr>
        <w:outlineLvl w:val="0"/>
      </w:pPr>
      <w:r>
        <w:rPr>
          <w:bCs/>
        </w:rPr>
        <w:t xml:space="preserve">д) соответствие условий оплаты требованиям ТЗ.</w:t>
      </w:r>
      <w:r>
        <w:rPr>
          <w:bCs/>
        </w:rPr>
      </w:r>
      <w:r>
        <w:rPr>
          <w:bCs/>
        </w:rPr>
      </w:r>
    </w:p>
    <w:p>
      <w:pPr>
        <w:pStyle w:val="1276"/>
        <w:jc w:val="both"/>
        <w:tabs>
          <w:tab w:val="left" w:pos="142" w:leader="none"/>
          <w:tab w:val="left" w:pos="851" w:leader="none"/>
        </w:tabs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pStyle w:val="1276"/>
        <w:numPr>
          <w:ilvl w:val="0"/>
          <w:numId w:val="7"/>
        </w:numPr>
        <w:ind w:left="0" w:firstLine="567"/>
        <w:jc w:val="both"/>
        <w:tabs>
          <w:tab w:val="left" w:pos="142" w:leader="none"/>
          <w:tab w:val="left" w:pos="851" w:leader="none"/>
          <w:tab w:val="center" w:pos="1134" w:leader="none"/>
        </w:tabs>
        <w:outlineLvl w:val="0"/>
      </w:pPr>
      <w:r>
        <w:t xml:space="preserve">ПОРЯДОК ПРОВЕДЕНИЯ ЗАКУПКИ (ЭТАПОВ ЗАКУПКИ), ПОДВЕДЕНИЯ ИТОГОВ ЗАКУПКИ</w:t>
      </w:r>
      <w:r/>
    </w:p>
    <w:p>
      <w:pPr>
        <w:pStyle w:val="1276"/>
        <w:numPr>
          <w:ilvl w:val="1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составе заявок </w:t>
      </w:r>
      <w:r>
        <w:t xml:space="preserve">сведений и документов, а также иных источников информации, предусмотренных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Интернет.</w:t>
      </w:r>
      <w:r/>
    </w:p>
    <w:p>
      <w:pPr>
        <w:pStyle w:val="1276"/>
        <w:numPr>
          <w:ilvl w:val="1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приглашении к участию в закупке способом сравнения цен. Требов</w:t>
      </w:r>
      <w:r>
        <w:t xml:space="preserve">ания, предъявляемые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  <w:r/>
    </w:p>
    <w:p>
      <w:pPr>
        <w:pStyle w:val="1276"/>
        <w:numPr>
          <w:ilvl w:val="1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Заявка подлежит отклонению в случаях, если:</w:t>
      </w:r>
      <w:r/>
    </w:p>
    <w:p>
      <w:pPr>
        <w:pStyle w:val="1276"/>
        <w:numPr>
          <w:ilvl w:val="0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участник не соответствует требованиям к участнику закупки, установленным в приглашении к участию в закупке способом сравнения цен;</w:t>
      </w:r>
      <w:r/>
    </w:p>
    <w:p>
      <w:pPr>
        <w:pStyle w:val="1276"/>
        <w:numPr>
          <w:ilvl w:val="0"/>
          <w:numId w:val="13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сведений и документов;</w:t>
      </w:r>
      <w:r/>
    </w:p>
    <w:p>
      <w:pPr>
        <w:pStyle w:val="1276"/>
        <w:numPr>
          <w:ilvl w:val="0"/>
          <w:numId w:val="13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  <w:r/>
    </w:p>
    <w:p>
      <w:pPr>
        <w:pStyle w:val="1276"/>
        <w:numPr>
          <w:ilvl w:val="0"/>
          <w:numId w:val="13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превышения цены заявки над НМЦ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</w:t>
      </w:r>
      <w:r>
        <w:t xml:space="preserve">жа)/ снижения начальной (максимальной) цены заявки над НМЦ, если в Приглашении указано, что начальная стоимость договора является неизменной/ превышения стоимостей отдельных договоров, если по результатам закупки будет заключено несколько договоров и т.п.;</w:t>
      </w:r>
      <w:r/>
    </w:p>
    <w:p>
      <w:pPr>
        <w:pStyle w:val="1276"/>
        <w:numPr>
          <w:ilvl w:val="0"/>
          <w:numId w:val="13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наличия информации об участнике Закупки в реестре иностранных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  <w:r/>
    </w:p>
    <w:p>
      <w:pPr>
        <w:pStyle w:val="1276"/>
        <w:numPr>
          <w:ilvl w:val="0"/>
          <w:numId w:val="13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наличия информации об участнике Закупки в реестре недобросовестных поставщиков, предусмотренном Федеральным законом от 05.04.2013 г. № 44-ФЗ «О контрактной системе в сфере закупок</w:t>
      </w:r>
      <w:r>
        <w:t xml:space="preserve">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  <w:r/>
    </w:p>
    <w:p>
      <w:pPr>
        <w:pStyle w:val="1276"/>
        <w:numPr>
          <w:ilvl w:val="0"/>
          <w:numId w:val="13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непредоставления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формы);</w:t>
      </w:r>
      <w:r/>
    </w:p>
    <w:p>
      <w:pPr>
        <w:pStyle w:val="1276"/>
        <w:numPr>
          <w:ilvl w:val="0"/>
          <w:numId w:val="13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электронной форме проведения закупки);</w:t>
      </w:r>
      <w:r/>
    </w:p>
    <w:p>
      <w:pPr>
        <w:pStyle w:val="1276"/>
        <w:numPr>
          <w:ilvl w:val="0"/>
          <w:numId w:val="13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цен.</w:t>
      </w:r>
      <w:r/>
    </w:p>
    <w:p>
      <w:pPr>
        <w:pStyle w:val="1276"/>
        <w:numPr>
          <w:ilvl w:val="0"/>
          <w:numId w:val="13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в составе заявки участника не подтверждена информация о поставке товаров, происходящих из Российской Федерации, при установлении Правительством Российской Федерации предусмотренного п. 1.6.2. а) настоящего Приглашения запрета;</w:t>
      </w:r>
      <w:r/>
    </w:p>
    <w:p>
      <w:pPr>
        <w:pStyle w:val="1276"/>
        <w:numPr>
          <w:ilvl w:val="0"/>
          <w:numId w:val="13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в составе заявки участника содержится информация о поставке как минимум одного товара, происходящего из иностранного государства, при установлении Правительством Российской Феде</w:t>
      </w:r>
      <w:r>
        <w:t xml:space="preserve">рации предусмотренного п. 1.6.2. б) настоящего Приглашения ограничения, при этом в числе заявок на участие в закупке имеется как минимум одна заявка, которая не отклонена, и содержит информацию о поставке всех товаров, происходящих из Российской Федерации.</w:t>
      </w:r>
      <w:r/>
    </w:p>
    <w:p>
      <w:pPr>
        <w:pStyle w:val="1276"/>
        <w:numPr>
          <w:ilvl w:val="1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</w:t>
      </w:r>
      <w:r>
        <w:t xml:space="preserve">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  <w:r/>
    </w:p>
    <w:p>
      <w:pPr>
        <w:pStyle w:val="1276"/>
        <w:numPr>
          <w:ilvl w:val="1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  <w:r/>
    </w:p>
    <w:p>
      <w:pPr>
        <w:pStyle w:val="1276"/>
        <w:numPr>
          <w:ilvl w:val="1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На основании результатов рассмотрения заявок принимается решение: </w:t>
      </w:r>
      <w:r/>
    </w:p>
    <w:p>
      <w:pPr>
        <w:pStyle w:val="1276"/>
        <w:numPr>
          <w:ilvl w:val="0"/>
          <w:numId w:val="14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о признании участника и/или заявки участника соответствующими требованиям приглашения к участию в закупке способом сравнения цен;</w:t>
      </w:r>
      <w:r/>
    </w:p>
    <w:p>
      <w:pPr>
        <w:pStyle w:val="1276"/>
        <w:numPr>
          <w:ilvl w:val="0"/>
          <w:numId w:val="15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о признании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  <w:r/>
    </w:p>
    <w:p>
      <w:pPr>
        <w:pStyle w:val="1276"/>
        <w:numPr>
          <w:ilvl w:val="1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По результатам рассмотрения заявок участников соста</w:t>
      </w:r>
      <w:r>
        <w:t xml:space="preserve">вляется Аналитическая записка,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  <w:r/>
    </w:p>
    <w:p>
      <w:pPr>
        <w:pStyle w:val="1276"/>
        <w:numPr>
          <w:ilvl w:val="1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Заявке участника закупки, в</w:t>
      </w:r>
      <w:r>
        <w:t xml:space="preserve">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  <w:r/>
    </w:p>
    <w:p>
      <w:pPr>
        <w:pStyle w:val="1276"/>
        <w:numPr>
          <w:ilvl w:val="1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  <w:r/>
    </w:p>
    <w:p>
      <w:pPr>
        <w:pStyle w:val="1276"/>
        <w:numPr>
          <w:ilvl w:val="1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Если до заключения договора </w:t>
      </w:r>
      <w:r>
        <w:t xml:space="preserve">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участ</w:t>
      </w:r>
      <w:r>
        <w:t xml:space="preserve">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нарушений.</w:t>
      </w:r>
      <w:r/>
    </w:p>
    <w:p>
      <w:pPr>
        <w:pStyle w:val="1276"/>
        <w:numPr>
          <w:ilvl w:val="1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Основания, порядок и последствия признания закупки несостоявшейся установлены Положением о закупке Заказчика. </w:t>
      </w:r>
      <w:r/>
    </w:p>
    <w:p>
      <w:pPr>
        <w:pStyle w:val="1276"/>
        <w:numPr>
          <w:ilvl w:val="1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закупки. </w:t>
      </w:r>
      <w:r>
        <w:rPr>
          <w:b/>
          <w:i/>
        </w:rPr>
        <w:t xml:space="preserve"> </w:t>
      </w:r>
      <w:r>
        <w:t xml:space="preserve">Независимо от формы проведения закупки, информация об отказе от проведения закупки отражается в Аналитической записке.</w:t>
      </w:r>
      <w:r/>
    </w:p>
    <w:p>
      <w:pPr>
        <w:pStyle w:val="1276"/>
        <w:numPr>
          <w:ilvl w:val="1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Рассмотрение жалоб и обращений участников закупки осуществляется в порядке, предусмотренном Положением о закупке Заказчика.</w:t>
      </w:r>
      <w:r/>
    </w:p>
    <w:p>
      <w:pPr>
        <w:pStyle w:val="1276"/>
        <w:ind w:left="567"/>
        <w:jc w:val="both"/>
        <w:tabs>
          <w:tab w:val="left" w:pos="142" w:leader="none"/>
          <w:tab w:val="center" w:pos="1134" w:leader="none"/>
        </w:tabs>
      </w:pPr>
      <w:r/>
      <w:r/>
    </w:p>
    <w:p>
      <w:pPr>
        <w:pStyle w:val="1276"/>
        <w:numPr>
          <w:ilvl w:val="0"/>
          <w:numId w:val="7"/>
        </w:numPr>
        <w:ind w:left="0" w:firstLine="567"/>
        <w:jc w:val="both"/>
        <w:tabs>
          <w:tab w:val="left" w:pos="142" w:leader="none"/>
          <w:tab w:val="left" w:pos="851" w:leader="none"/>
          <w:tab w:val="center" w:pos="1134" w:leader="none"/>
        </w:tabs>
        <w:outlineLvl w:val="0"/>
      </w:pPr>
      <w:r>
        <w:t xml:space="preserve">ПОРЯДОК ЗАКЛЮЧЕНИЯ ДОГОВОРА</w:t>
      </w:r>
      <w:r/>
    </w:p>
    <w:p>
      <w:pPr>
        <w:pStyle w:val="1276"/>
        <w:numPr>
          <w:ilvl w:val="1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  <w:r/>
    </w:p>
    <w:p>
      <w:pPr>
        <w:pStyle w:val="1276"/>
        <w:numPr>
          <w:ilvl w:val="1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Договор по результатам закупки заключается в сроки, предусмотренные нормами действующего законодательства и Договорного регламента Общества.</w:t>
      </w:r>
      <w:r/>
    </w:p>
    <w:p>
      <w:pPr>
        <w:pStyle w:val="1276"/>
        <w:numPr>
          <w:ilvl w:val="1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Заказчик вправе заключить договор с участником закупки, кото</w:t>
      </w:r>
      <w:r>
        <w:t xml:space="preserve">рый предложил такие же, как и победитель закупки, условия исполнения договора или заявка которого содержит лучшие 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  <w:r/>
    </w:p>
    <w:p>
      <w:pPr>
        <w:pStyle w:val="1276"/>
        <w:jc w:val="both"/>
        <w:tabs>
          <w:tab w:val="left" w:pos="142" w:leader="none"/>
          <w:tab w:val="center" w:pos="1134" w:leader="none"/>
        </w:tabs>
      </w:pPr>
      <w:r/>
      <w:r/>
    </w:p>
    <w:p>
      <w:pPr>
        <w:pStyle w:val="1276"/>
        <w:jc w:val="both"/>
        <w:tabs>
          <w:tab w:val="left" w:pos="142" w:leader="none"/>
          <w:tab w:val="center" w:pos="1134" w:leader="none"/>
        </w:tabs>
      </w:pPr>
      <w:r/>
      <w:r/>
    </w:p>
    <w:p>
      <w:pPr>
        <w:pStyle w:val="1309"/>
        <w:ind w:left="0"/>
        <w:spacing w:before="0" w:after="0"/>
      </w:pPr>
      <w:r>
        <w:t xml:space="preserve">Приложения:</w:t>
      </w:r>
      <w:r/>
    </w:p>
    <w:p>
      <w:pPr>
        <w:pStyle w:val="1309"/>
        <w:numPr>
          <w:ilvl w:val="0"/>
          <w:numId w:val="2"/>
        </w:numPr>
        <w:spacing w:before="0" w:after="0"/>
      </w:pPr>
      <w:r>
        <w:t xml:space="preserve">Техническое задание;</w:t>
      </w:r>
      <w:r/>
    </w:p>
    <w:p>
      <w:pPr>
        <w:pStyle w:val="1309"/>
        <w:numPr>
          <w:ilvl w:val="0"/>
          <w:numId w:val="2"/>
        </w:numPr>
        <w:spacing w:before="0" w:after="0"/>
      </w:pPr>
      <w:r>
        <w:t xml:space="preserve">Проект договора;</w:t>
      </w:r>
      <w:r/>
    </w:p>
    <w:p>
      <w:pPr>
        <w:pStyle w:val="1309"/>
        <w:numPr>
          <w:ilvl w:val="0"/>
          <w:numId w:val="2"/>
        </w:numPr>
        <w:spacing w:before="0" w:after="0"/>
      </w:pPr>
      <w:r>
        <w:t xml:space="preserve">Форма заявки на участие в закупке с приложениями.</w:t>
      </w:r>
      <w:r/>
    </w:p>
    <w:p>
      <w:pPr>
        <w:pStyle w:val="1309"/>
        <w:ind w:left="0"/>
        <w:jc w:val="center"/>
        <w:spacing w:before="0" w:after="0"/>
      </w:pPr>
      <w:r/>
      <w:r/>
    </w:p>
    <w:p>
      <w:pPr>
        <w:pStyle w:val="1309"/>
        <w:ind w:left="0"/>
        <w:jc w:val="center"/>
        <w:spacing w:before="0" w:after="0"/>
      </w:pPr>
      <w:r/>
      <w:r/>
    </w:p>
    <w:p>
      <w:pPr>
        <w:pStyle w:val="1309"/>
        <w:ind w:left="0"/>
        <w:jc w:val="center"/>
        <w:spacing w:before="0" w:after="0"/>
      </w:pPr>
      <w:r/>
      <w:r/>
    </w:p>
    <w:p>
      <w:pPr>
        <w:pStyle w:val="1309"/>
        <w:ind w:left="0"/>
        <w:spacing w:before="0" w:after="0"/>
      </w:pPr>
      <w:r>
        <w:t xml:space="preserve">Начальник отдела договорной работы</w:t>
      </w:r>
      <w:r/>
    </w:p>
    <w:p>
      <w:pPr>
        <w:pStyle w:val="1309"/>
        <w:ind w:left="0"/>
        <w:spacing w:before="0" w:after="0"/>
      </w:pPr>
      <w:r>
        <w:t xml:space="preserve">управления реализации дополнительных услуг</w:t>
      </w:r>
      <w:r/>
    </w:p>
    <w:p>
      <w:pPr>
        <w:pStyle w:val="1309"/>
        <w:ind w:left="0"/>
        <w:spacing w:before="0" w:after="0"/>
      </w:pPr>
      <w:r>
        <w:t xml:space="preserve">Западных электрических сетей филиала </w:t>
      </w:r>
      <w:r/>
    </w:p>
    <w:p>
      <w:pPr>
        <w:pStyle w:val="1309"/>
        <w:ind w:left="0"/>
        <w:spacing w:before="0" w:after="0"/>
      </w:pPr>
      <w:r>
        <w:t xml:space="preserve">ПАО «Россети Московский регион»</w:t>
        <w:tab/>
        <w:t xml:space="preserve">                                                                          Я.А. Рябова</w:t>
      </w:r>
      <w:r/>
    </w:p>
    <w:sectPr>
      <w:headerReference w:type="default" r:id="rId9"/>
      <w:headerReference w:type="first" r:id="rId10"/>
      <w:footnotePr/>
      <w:endnotePr/>
      <w:type w:val="nextPage"/>
      <w:pgSz w:w="11906" w:h="16838" w:orient="portrait"/>
      <w:pgMar w:top="766" w:right="709" w:bottom="1021" w:left="1134" w:header="709" w:footer="0" w:gutter="0"/>
      <w:cols w:num="1" w:sep="0" w:space="720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">
    <w:panose1 w:val="020B0502040504020204"/>
  </w:font>
  <w:font w:name="Calibri">
    <w:panose1 w:val="020F0502020204030204"/>
  </w:font>
  <w:font w:name="Noto Sans">
    <w:panose1 w:val="020B0502040504020204"/>
  </w:font>
  <w:font w:name="PF Din Text Cond Pro Light">
    <w:panose1 w:val="02000000000000000000"/>
  </w:font>
  <w:font w:name="Tahoma">
    <w:panose1 w:val="020B0604030504040204"/>
  </w:font>
  <w:font w:name="Times New Roman">
    <w:panose1 w:val="02020603050405020304"/>
  </w:font>
  <w:font w:name="Calibri Light">
    <w:panose1 w:val="020F0502020204030204"/>
  </w:font>
  <w:font w:name="Cambria">
    <w:panose1 w:val="02040503050406030204"/>
  </w:font>
  <w:font w:name="Arial">
    <w:panose1 w:val="020B0604020202020204"/>
  </w:font>
  <w:font w:name="Liberation Sans">
    <w:panose1 w:val="020B060402020202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  <w:footnote w:id="2">
    <w:p>
      <w:pPr>
        <w:pStyle w:val="1318"/>
      </w:pPr>
      <w:r>
        <w:rPr>
          <w:rStyle w:val="1293"/>
        </w:rPr>
        <w:footnoteRef/>
      </w:r>
      <w:r>
        <w:t xml:space="preserve">Приостановление 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  <w:r/>
    </w:p>
  </w:footnote>
  <w:footnote w:id="3">
    <w:p>
      <w:pPr>
        <w:pStyle w:val="1318"/>
      </w:pPr>
      <w:r>
        <w:rPr>
          <w:rStyle w:val="1293"/>
        </w:rPr>
        <w:footnoteRef/>
      </w:r>
      <w:r>
        <w:t xml:space="preserve"> В случае, если выписка из Единого реестра сведений о членах саморегулируемых организаций не представлена - эксперт проводит оценку на основании информации, размещенной в публичном источнике (на сайте Единого реестра).</w:t>
      </w:r>
      <w:r/>
    </w:p>
  </w:footnote>
  <w:footnote w:id="4">
    <w:p>
      <w:pPr>
        <w:pStyle w:val="1318"/>
      </w:pPr>
      <w:r>
        <w:rPr>
          <w:rStyle w:val="1293"/>
        </w:rPr>
        <w:footnoteRef/>
      </w:r>
      <w:r>
        <w:t xml:space="preserve"> При закупках на выполнение СМР, ПНР.</w:t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307"/>
      <w:jc w:val="center"/>
    </w:pPr>
    <w:r>
      <w:fldChar w:fldCharType="begin"/>
    </w:r>
    <w:r>
      <w:instrText xml:space="preserve"> PAGE </w:instrText>
    </w:r>
    <w:r>
      <w:fldChar w:fldCharType="separate"/>
    </w:r>
    <w:r>
      <w:t xml:space="preserve">3</w:t>
    </w:r>
    <w:r>
      <w:fldChar w:fldCharType="end"/>
    </w:r>
    <w:r/>
  </w:p>
  <w:p>
    <w:pPr>
      <w:pStyle w:val="1307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307"/>
    </w:pP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114300" distR="114300" simplePos="0" relativeHeight="524288" behindDoc="1" locked="0" layoutInCell="0" allowOverlap="1">
              <wp:simplePos x="0" y="0"/>
              <wp:positionH relativeFrom="page">
                <wp:align>center</wp:align>
              </wp:positionH>
              <wp:positionV relativeFrom="paragraph">
                <wp:posOffset>-257174</wp:posOffset>
              </wp:positionV>
              <wp:extent cx="7531100" cy="2157095"/>
              <wp:effectExtent l="0" t="0" r="0" b="0"/>
              <wp:wrapSquare wrapText="bothSides"/>
              <wp:docPr id="1" name="_x0000_s2059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"/>
                      <pic:cNvPicPr/>
                      <pic:nvPr/>
                    </pic:nvPicPr>
                    <pic:blipFill>
                      <a:blip r:embed="rId1"/>
                      <a:stretch/>
                    </pic:blipFill>
                    <pic:spPr bwMode="auto">
                      <a:xfrm>
                        <a:off x="0" y="0"/>
                        <a:ext cx="7531100" cy="21570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mc:Choice>
        <mc:Fallback>
          <w:pict>
            <v:shapetype type="#_x0000_t75" o:spt="75" coordsize="21600,21600" o:preferrelative="t" path="m@4@5l@4@11@9@11@9@5xe"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</v:shapetype>
            <v:shape id="_x0000_i0" o:spid="_x0000_s0" type="#_x0000_t75" style="position:absolute;z-index:-524288;o:allowoverlap:true;o:allowincell:false;mso-position-horizontal-relative:page;mso-position-horizontal:center;mso-position-vertical-relative:text;margin-top:-20.25pt;mso-position-vertical:absolute;width:593.00pt;height:169.85pt;mso-wrap-distance-left:9.00pt;mso-wrap-distance-top:0.00pt;mso-wrap-distance-right:9.00pt;mso-wrap-distance-bottom:0.00pt;" stroked="f">
              <v:path textboxrect="0,0,0,0"/>
              <w10:wrap type="square"/>
              <v:imagedata r:id="rId1" o:title=""/>
            </v:shape>
          </w:pict>
        </mc:Fallback>
      </mc:AlternateContent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250609663" behindDoc="1" locked="0" layoutInCell="1" allowOverlap="1">
              <wp:simplePos x="0" y="0"/>
              <wp:positionH relativeFrom="column">
                <wp:posOffset>1466215</wp:posOffset>
              </wp:positionH>
              <wp:positionV relativeFrom="paragraph">
                <wp:posOffset>2093595</wp:posOffset>
              </wp:positionV>
              <wp:extent cx="1063625" cy="303530"/>
              <wp:effectExtent l="0" t="0" r="0" b="0"/>
              <wp:wrapNone/>
              <wp:docPr id="2" name="_x0000_s205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>
                        <a:off x="0" y="0"/>
                        <a:ext cx="1063625" cy="3035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1319"/>
                            <w:jc w:val="center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</w:r>
                          <w:r>
                            <w:rPr>
                              <w:color w:val="000000"/>
                            </w:rPr>
                          </w:r>
                          <w:r>
                            <w:rPr>
                              <w:color w:val="000000"/>
                            </w:rPr>
                          </w:r>
                        </w:p>
                        <w:p>
                          <w:pPr>
                            <w:pStyle w:val="1276"/>
                          </w:pPr>
                          <w:r/>
                          <w:r/>
                        </w:p>
                      </w:txbxContent>
                    </wps:txbx>
                    <wps:bodyPr wrap="square" upright="1"/>
                  </wps:wsp>
                </a:graphicData>
              </a:graphic>
            </wp:anchor>
          </w:drawing>
        </mc:Choice>
        <mc:Fallback>
          <w:pict>
            <v:shape id="shape 1" o:spid="_x0000_s1" o:spt="1" type="#_x0000_t1" style="position:absolute;z-index:-250609663;o:allowoverlap:true;o:allowincell:true;mso-position-horizontal-relative:text;margin-left:115.45pt;mso-position-horizontal:absolute;mso-position-vertical-relative:text;margin-top:164.85pt;mso-position-vertical:absolute;width:83.75pt;height:23.90pt;mso-wrap-distance-left:0.00pt;mso-wrap-distance-top:0.00pt;mso-wrap-distance-right:0.00pt;mso-wrap-distance-bottom:0.00pt;visibility:visible;" filled="f" stroked="f">
              <v:textbox inset="0,0,0,0">
                <w:txbxContent>
                  <w:p>
                    <w:pPr>
                      <w:pStyle w:val="1319"/>
                      <w:jc w:val="center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</w:r>
                    <w:r>
                      <w:rPr>
                        <w:color w:val="000000"/>
                      </w:rPr>
                    </w:r>
                    <w:r>
                      <w:rPr>
                        <w:color w:val="000000"/>
                      </w:rPr>
                    </w:r>
                  </w:p>
                  <w:p>
                    <w:pPr>
                      <w:pStyle w:val="1276"/>
                    </w:pPr>
                    <w:r/>
                    <w:r/>
                  </w:p>
                </w:txbxContent>
              </v:textbox>
            </v:shape>
          </w:pict>
        </mc:Fallback>
      </mc:AlternateContent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250609662" behindDoc="1" locked="0" layoutInCell="1" allowOverlap="1">
              <wp:simplePos x="0" y="0"/>
              <wp:positionH relativeFrom="column">
                <wp:posOffset>113665</wp:posOffset>
              </wp:positionH>
              <wp:positionV relativeFrom="paragraph">
                <wp:posOffset>2093595</wp:posOffset>
              </wp:positionV>
              <wp:extent cx="1063625" cy="303530"/>
              <wp:effectExtent l="0" t="0" r="0" b="0"/>
              <wp:wrapNone/>
              <wp:docPr id="3" name="_x0000_s205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>
                        <a:off x="0" y="0"/>
                        <a:ext cx="1063625" cy="3035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1319"/>
                            <w:jc w:val="center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</w:r>
                          <w:r>
                            <w:rPr>
                              <w:color w:val="000000"/>
                            </w:rPr>
                          </w:r>
                          <w:r>
                            <w:rPr>
                              <w:color w:val="000000"/>
                            </w:rPr>
                          </w:r>
                        </w:p>
                        <w:p>
                          <w:pPr>
                            <w:pStyle w:val="1276"/>
                          </w:pPr>
                          <w:r/>
                          <w:r/>
                        </w:p>
                      </w:txbxContent>
                    </wps:txbx>
                    <wps:bodyPr wrap="square" upright="1"/>
                  </wps:wsp>
                </a:graphicData>
              </a:graphic>
            </wp:anchor>
          </w:drawing>
        </mc:Choice>
        <mc:Fallback>
          <w:pict>
            <v:shape id="shape 2" o:spid="_x0000_s2" o:spt="1" type="#_x0000_t1" style="position:absolute;z-index:-250609662;o:allowoverlap:true;o:allowincell:true;mso-position-horizontal-relative:text;margin-left:8.95pt;mso-position-horizontal:absolute;mso-position-vertical-relative:text;margin-top:164.85pt;mso-position-vertical:absolute;width:83.75pt;height:23.90pt;mso-wrap-distance-left:0.00pt;mso-wrap-distance-top:0.00pt;mso-wrap-distance-right:0.00pt;mso-wrap-distance-bottom:0.00pt;visibility:visible;" filled="f" stroked="f">
              <v:textbox inset="0,0,0,0">
                <w:txbxContent>
                  <w:p>
                    <w:pPr>
                      <w:pStyle w:val="1319"/>
                      <w:jc w:val="center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</w:r>
                    <w:r>
                      <w:rPr>
                        <w:color w:val="000000"/>
                      </w:rPr>
                    </w:r>
                    <w:r>
                      <w:rPr>
                        <w:color w:val="000000"/>
                      </w:rPr>
                    </w:r>
                  </w:p>
                  <w:p>
                    <w:pPr>
                      <w:pStyle w:val="1276"/>
                    </w:pPr>
                    <w:r/>
                    <w:r/>
                  </w:p>
                </w:txbxContent>
              </v:textbox>
            </v:shape>
          </w:pict>
        </mc:Fallback>
      </mc:AlternateContent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250609661" behindDoc="1" locked="0" layoutInCell="1" allowOverlap="1">
              <wp:simplePos x="0" y="0"/>
              <wp:positionH relativeFrom="column">
                <wp:posOffset>1542415</wp:posOffset>
              </wp:positionH>
              <wp:positionV relativeFrom="paragraph">
                <wp:posOffset>1790065</wp:posOffset>
              </wp:positionV>
              <wp:extent cx="1063625" cy="303530"/>
              <wp:effectExtent l="0" t="0" r="0" b="0"/>
              <wp:wrapNone/>
              <wp:docPr id="4" name="_x0000_s205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>
                        <a:off x="0" y="0"/>
                        <a:ext cx="1063625" cy="303530"/>
                      </a:xfrm>
                      <a:prstGeom prst="rect">
                        <a:avLst/>
                      </a:prstGeom>
                      <a:noFill/>
                      <a:ln>
                        <a:noFill/>
                        <a:round/>
                      </a:ln>
                    </wps:spPr>
                    <wps:txbx>
                      <w:txbxContent>
                        <w:p>
                          <w:pPr>
                            <w:pStyle w:val="1319"/>
                            <w:jc w:val="center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</w:r>
                          <w:r>
                            <w:rPr>
                              <w:color w:val="000000"/>
                            </w:rPr>
                          </w:r>
                          <w:r>
                            <w:rPr>
                              <w:color w:val="000000"/>
                            </w:rPr>
                          </w:r>
                        </w:p>
                        <w:p>
                          <w:pPr>
                            <w:pStyle w:val="1276"/>
                          </w:pPr>
                          <w:r/>
                          <w:r/>
                        </w:p>
                      </w:txbxContent>
                    </wps:txbx>
                    <wps:bodyPr wrap="square" upright="1"/>
                  </wps:wsp>
                </a:graphicData>
              </a:graphic>
            </wp:anchor>
          </w:drawing>
        </mc:Choice>
        <mc:Fallback>
          <w:pict>
            <v:shape id="shape 3" o:spid="_x0000_s3" o:spt="1" type="#_x0000_t1" style="position:absolute;z-index:-250609661;o:allowoverlap:true;o:allowincell:true;mso-position-horizontal-relative:text;margin-left:121.45pt;mso-position-horizontal:absolute;mso-position-vertical-relative:text;margin-top:140.95pt;mso-position-vertical:absolute;width:83.75pt;height:23.90pt;mso-wrap-distance-left:0.00pt;mso-wrap-distance-top:0.00pt;mso-wrap-distance-right:0.00pt;mso-wrap-distance-bottom:0.00pt;visibility:visible;" filled="f" stroked="f">
              <v:textbox inset="0,0,0,0">
                <w:txbxContent>
                  <w:p>
                    <w:pPr>
                      <w:pStyle w:val="1319"/>
                      <w:jc w:val="center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</w:r>
                    <w:r>
                      <w:rPr>
                        <w:color w:val="000000"/>
                      </w:rPr>
                    </w:r>
                    <w:r>
                      <w:rPr>
                        <w:color w:val="000000"/>
                      </w:rPr>
                    </w:r>
                  </w:p>
                  <w:p>
                    <w:pPr>
                      <w:pStyle w:val="1276"/>
                    </w:pPr>
                    <w:r/>
                    <w:r/>
                  </w:p>
                </w:txbxContent>
              </v:textbox>
            </v:shape>
          </w:pict>
        </mc:Fallback>
      </mc:AlternateContent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250609660" behindDoc="1" locked="0" layoutInCell="1" allowOverlap="1">
              <wp:simplePos x="0" y="0"/>
              <wp:positionH relativeFrom="column">
                <wp:posOffset>-29209</wp:posOffset>
              </wp:positionH>
              <wp:positionV relativeFrom="paragraph">
                <wp:posOffset>1790065</wp:posOffset>
              </wp:positionV>
              <wp:extent cx="1063625" cy="303530"/>
              <wp:effectExtent l="0" t="0" r="0" b="0"/>
              <wp:wrapNone/>
              <wp:docPr id="5" name="_x0000_s205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>
                        <a:off x="0" y="0"/>
                        <a:ext cx="1063625" cy="303530"/>
                      </a:xfrm>
                      <a:prstGeom prst="rect">
                        <a:avLst/>
                      </a:prstGeom>
                      <a:noFill/>
                      <a:ln>
                        <a:noFill/>
                        <a:round/>
                      </a:ln>
                    </wps:spPr>
                    <wps:txbx>
                      <w:txbxContent>
                        <w:p>
                          <w:pPr>
                            <w:pStyle w:val="1319"/>
                            <w:jc w:val="center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</w:r>
                          <w:r>
                            <w:rPr>
                              <w:color w:val="000000"/>
                            </w:rPr>
                          </w:r>
                          <w:r>
                            <w:rPr>
                              <w:color w:val="000000"/>
                            </w:rPr>
                          </w:r>
                        </w:p>
                        <w:p>
                          <w:pPr>
                            <w:pStyle w:val="1276"/>
                          </w:pPr>
                          <w:r/>
                          <w:r/>
                        </w:p>
                      </w:txbxContent>
                    </wps:txbx>
                    <wps:bodyPr wrap="square" upright="1"/>
                  </wps:wsp>
                </a:graphicData>
              </a:graphic>
            </wp:anchor>
          </w:drawing>
        </mc:Choice>
        <mc:Fallback>
          <w:pict>
            <v:shape id="shape 4" o:spid="_x0000_s4" o:spt="1" type="#_x0000_t1" style="position:absolute;z-index:-250609660;o:allowoverlap:true;o:allowincell:true;mso-position-horizontal-relative:text;margin-left:-2.30pt;mso-position-horizontal:absolute;mso-position-vertical-relative:text;margin-top:140.95pt;mso-position-vertical:absolute;width:83.75pt;height:23.90pt;mso-wrap-distance-left:0.00pt;mso-wrap-distance-top:0.00pt;mso-wrap-distance-right:0.00pt;mso-wrap-distance-bottom:0.00pt;visibility:visible;" filled="f" stroked="f">
              <v:textbox inset="0,0,0,0">
                <w:txbxContent>
                  <w:p>
                    <w:pPr>
                      <w:pStyle w:val="1319"/>
                      <w:jc w:val="center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</w:r>
                    <w:r>
                      <w:rPr>
                        <w:color w:val="000000"/>
                      </w:rPr>
                    </w:r>
                    <w:r>
                      <w:rPr>
                        <w:color w:val="000000"/>
                      </w:rPr>
                    </w:r>
                  </w:p>
                  <w:p>
                    <w:pPr>
                      <w:pStyle w:val="1276"/>
                    </w:pPr>
                    <w:r/>
                    <w:r/>
                  </w:p>
                </w:txbxContent>
              </v:textbox>
            </v:shape>
          </w:pict>
        </mc:Fallback>
      </mc:AlternateContent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250609659" behindDoc="1" locked="0" layoutInCell="1" allowOverlap="1">
              <wp:simplePos x="0" y="0"/>
              <wp:positionH relativeFrom="column">
                <wp:posOffset>3284220</wp:posOffset>
              </wp:positionH>
              <wp:positionV relativeFrom="paragraph">
                <wp:posOffset>1028065</wp:posOffset>
              </wp:positionV>
              <wp:extent cx="2443480" cy="1490980"/>
              <wp:effectExtent l="0" t="0" r="0" b="0"/>
              <wp:wrapNone/>
              <wp:docPr id="6" name="_x0000_s205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>
                        <a:off x="0" y="0"/>
                        <a:ext cx="2443480" cy="14909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1319"/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sz w:val="28"/>
                              <w:szCs w:val="28"/>
                            </w:rPr>
                          </w:r>
                          <w:r>
                            <w:rPr>
                              <w:sz w:val="28"/>
                              <w:szCs w:val="28"/>
                            </w:rPr>
                          </w:r>
                          <w:r>
                            <w:rPr>
                              <w:sz w:val="28"/>
                              <w:szCs w:val="28"/>
                            </w:rPr>
                          </w:r>
                        </w:p>
                        <w:p>
                          <w:pPr>
                            <w:pStyle w:val="1276"/>
                          </w:pPr>
                          <w:r/>
                          <w:r/>
                        </w:p>
                      </w:txbxContent>
                    </wps:txbx>
                    <wps:bodyPr wrap="square" upright="1"/>
                  </wps:wsp>
                </a:graphicData>
              </a:graphic>
            </wp:anchor>
          </w:drawing>
        </mc:Choice>
        <mc:Fallback>
          <w:pict>
            <v:shape id="shape 5" o:spid="_x0000_s5" o:spt="1" type="#_x0000_t1" style="position:absolute;z-index:-250609659;o:allowoverlap:true;o:allowincell:true;mso-position-horizontal-relative:text;margin-left:258.60pt;mso-position-horizontal:absolute;mso-position-vertical-relative:text;margin-top:80.95pt;mso-position-vertical:absolute;width:192.40pt;height:117.40pt;mso-wrap-distance-left:0.00pt;mso-wrap-distance-top:0.00pt;mso-wrap-distance-right:0.00pt;mso-wrap-distance-bottom:0.00pt;visibility:visible;" filled="f" stroked="f">
              <v:textbox inset="0,0,0,0">
                <w:txbxContent>
                  <w:p>
                    <w:pPr>
                      <w:pStyle w:val="1319"/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</w:r>
                    <w:r>
                      <w:rPr>
                        <w:sz w:val="28"/>
                        <w:szCs w:val="28"/>
                      </w:rPr>
                    </w:r>
                    <w:r>
                      <w:rPr>
                        <w:sz w:val="28"/>
                        <w:szCs w:val="28"/>
                      </w:rPr>
                    </w:r>
                  </w:p>
                  <w:p>
                    <w:pPr>
                      <w:pStyle w:val="1276"/>
                    </w:pPr>
                    <w:r/>
                    <w:r/>
                  </w:p>
                </w:txbxContent>
              </v:textbox>
            </v:shape>
          </w:pict>
        </mc:Fallback>
      </mc:AlternateContent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250609658" behindDoc="1" locked="0" layoutInCell="1" allowOverlap="1">
              <wp:simplePos x="0" y="0"/>
              <wp:positionH relativeFrom="column">
                <wp:posOffset>3281045</wp:posOffset>
              </wp:positionH>
              <wp:positionV relativeFrom="paragraph">
                <wp:posOffset>-39369</wp:posOffset>
              </wp:positionV>
              <wp:extent cx="3002915" cy="1131570"/>
              <wp:effectExtent l="0" t="0" r="0" b="0"/>
              <wp:wrapNone/>
              <wp:docPr id="7" name="_x0000_s205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>
                        <a:off x="0" y="0"/>
                        <a:ext cx="3002915" cy="11315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1319"/>
                            <w:rPr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PF Din Text Cond Pro Light" w:hAnsi="PF Din Text Cond Pro Light"/>
                              <w:color w:val="000000"/>
                              <w:sz w:val="16"/>
                              <w:szCs w:val="16"/>
                            </w:rPr>
                            <w:t xml:space="preserve">Филиал ПАО «Россети Московский регион» -</w:t>
                          </w:r>
                          <w:r>
                            <w:rPr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</w:r>
                          <w:r>
                            <w:rPr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</w:r>
                        </w:p>
                        <w:p>
                          <w:pPr>
                            <w:pStyle w:val="1319"/>
                            <w:rPr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PF Din Text Cond Pro Light" w:hAnsi="PF Din Text Cond Pro Light"/>
                              <w:color w:val="000000"/>
                              <w:sz w:val="16"/>
                              <w:szCs w:val="16"/>
                            </w:rPr>
                            <w:t xml:space="preserve">Западные электрические сети</w:t>
                          </w:r>
                          <w:r>
                            <w:rPr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</w:r>
                          <w:r>
                            <w:rPr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</w:r>
                        </w:p>
                        <w:p>
                          <w:pPr>
                            <w:pStyle w:val="1319"/>
                            <w:rPr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PF Din Text Cond Pro Light" w:hAnsi="PF Din Text Cond Pro Light"/>
                              <w:color w:val="000000"/>
                              <w:sz w:val="16"/>
                              <w:szCs w:val="16"/>
                            </w:rPr>
                            <w:t xml:space="preserve">РФ, 143006, Московская обл., г. Одинцово, Транспортный проезд, д. 32 </w:t>
                          </w:r>
                          <w:r>
                            <w:rPr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</w:r>
                          <w:r>
                            <w:rPr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</w:r>
                        </w:p>
                        <w:p>
                          <w:pPr>
                            <w:pStyle w:val="1319"/>
                            <w:rPr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PF Din Text Cond Pro Light" w:hAnsi="PF Din Text Cond Pro Light"/>
                              <w:color w:val="000000"/>
                              <w:sz w:val="16"/>
                              <w:szCs w:val="16"/>
                            </w:rPr>
                            <w:t xml:space="preserve">Тел.: 8 (495) 5257300 вн. 21-56 канцелярия, 8 (495) 5257302 приемная</w:t>
                          </w:r>
                          <w:r>
                            <w:rPr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</w:r>
                          <w:r>
                            <w:rPr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</w:r>
                        </w:p>
                        <w:p>
                          <w:pPr>
                            <w:pStyle w:val="1319"/>
                            <w:rPr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HYPERLINK "http://www.rossetimr.ru/" \h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1285"/>
                              <w:rFonts w:ascii="PF Din Text Cond Pro Light" w:hAnsi="PF Din Text Cond Pro Light"/>
                              <w:b/>
                              <w:sz w:val="16"/>
                              <w:szCs w:val="16"/>
                              <w:lang w:val="en-US"/>
                            </w:rPr>
                            <w:t xml:space="preserve">www</w:t>
                          </w:r>
                          <w:r>
                            <w:rPr>
                              <w:rStyle w:val="1285"/>
                              <w:rFonts w:ascii="PF Din Text Cond Pro Light" w:hAnsi="PF Din Text Cond Pro Light"/>
                              <w:b/>
                              <w:sz w:val="16"/>
                              <w:szCs w:val="16"/>
                            </w:rPr>
                            <w:t xml:space="preserve">.</w:t>
                          </w:r>
                          <w:r>
                            <w:rPr>
                              <w:rStyle w:val="1285"/>
                              <w:rFonts w:ascii="PF Din Text Cond Pro Light" w:hAnsi="PF Din Text Cond Pro Light"/>
                              <w:b/>
                              <w:sz w:val="16"/>
                              <w:szCs w:val="16"/>
                              <w:lang w:val="en-US"/>
                            </w:rPr>
                            <w:t xml:space="preserve">rossetimr</w:t>
                          </w:r>
                          <w:r>
                            <w:rPr>
                              <w:rStyle w:val="1285"/>
                              <w:rFonts w:ascii="PF Din Text Cond Pro Light" w:hAnsi="PF Din Text Cond Pro Light"/>
                              <w:b/>
                              <w:sz w:val="16"/>
                              <w:szCs w:val="16"/>
                            </w:rPr>
                            <w:t xml:space="preserve">.</w:t>
                          </w:r>
                          <w:r>
                            <w:rPr>
                              <w:rStyle w:val="1285"/>
                              <w:rFonts w:ascii="PF Din Text Cond Pro Light" w:hAnsi="PF Din Text Cond Pro Light"/>
                              <w:b/>
                              <w:sz w:val="16"/>
                              <w:szCs w:val="16"/>
                              <w:lang w:val="en-US"/>
                            </w:rPr>
                            <w:t xml:space="preserve">ru</w:t>
                          </w:r>
                          <w:r>
                            <w:rPr>
                              <w:rStyle w:val="1285"/>
                              <w:rFonts w:ascii="PF Din Text Cond Pro Light" w:hAnsi="PF Din Text Cond Pro Light"/>
                              <w:b/>
                              <w:sz w:val="16"/>
                              <w:szCs w:val="16"/>
                              <w:lang w:val="en-US"/>
                            </w:rPr>
                            <w:fldChar w:fldCharType="end"/>
                          </w:r>
                          <w:r>
                            <w:rPr>
                              <w:rFonts w:ascii="PF Din Text Cond Pro Light" w:hAnsi="PF Din Text Cond Pro Light"/>
                              <w:color w:val="000000"/>
                              <w:sz w:val="16"/>
                              <w:szCs w:val="16"/>
                            </w:rPr>
                            <w:t xml:space="preserve">, </w:t>
                          </w:r>
                          <w:r>
                            <w:rPr>
                              <w:rFonts w:ascii="PF Din Text Cond Pro Light" w:hAnsi="PF Din Text Cond Pro Light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 xml:space="preserve">e</w:t>
                          </w:r>
                          <w:r>
                            <w:rPr>
                              <w:rFonts w:ascii="PF Din Text Cond Pro Light" w:hAnsi="PF Din Text Cond Pro Light"/>
                              <w:color w:val="000000"/>
                              <w:sz w:val="16"/>
                              <w:szCs w:val="16"/>
                            </w:rPr>
                            <w:t xml:space="preserve">-</w:t>
                          </w:r>
                          <w:r>
                            <w:rPr>
                              <w:rFonts w:ascii="PF Din Text Cond Pro Light" w:hAnsi="PF Din Text Cond Pro Light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 xml:space="preserve">mail</w:t>
                          </w:r>
                          <w:r>
                            <w:rPr>
                              <w:rFonts w:ascii="PF Din Text Cond Pro Light" w:hAnsi="PF Din Text Cond Pro Light"/>
                              <w:color w:val="000000"/>
                              <w:sz w:val="16"/>
                              <w:szCs w:val="16"/>
                            </w:rPr>
                            <w:t xml:space="preserve">: </w:t>
                          </w:r>
                          <w:r>
                            <w:fldChar w:fldCharType="begin"/>
                          </w:r>
                          <w:r>
                            <w:instrText xml:space="preserve"> HYPERLINK "mailto:zes@rossetimr.ru" \h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1285"/>
                              <w:rFonts w:ascii="PF Din Text Cond Pro Light" w:hAnsi="PF Din Text Cond Pro Light"/>
                              <w:sz w:val="16"/>
                              <w:szCs w:val="16"/>
                              <w:lang w:val="en-US"/>
                            </w:rPr>
                            <w:t xml:space="preserve">zes</w:t>
                          </w:r>
                          <w:r>
                            <w:rPr>
                              <w:rStyle w:val="1285"/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  <w:t xml:space="preserve">@</w:t>
                          </w:r>
                          <w:r>
                            <w:rPr>
                              <w:rStyle w:val="1285"/>
                              <w:rFonts w:ascii="PF Din Text Cond Pro Light" w:hAnsi="PF Din Text Cond Pro Light"/>
                              <w:sz w:val="16"/>
                              <w:szCs w:val="16"/>
                              <w:lang w:val="en-US"/>
                            </w:rPr>
                            <w:t xml:space="preserve">rossetimr</w:t>
                          </w:r>
                          <w:r>
                            <w:rPr>
                              <w:rStyle w:val="1285"/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  <w:t xml:space="preserve">.</w:t>
                          </w:r>
                          <w:r>
                            <w:rPr>
                              <w:rStyle w:val="1285"/>
                              <w:rFonts w:ascii="PF Din Text Cond Pro Light" w:hAnsi="PF Din Text Cond Pro Light"/>
                              <w:sz w:val="16"/>
                              <w:szCs w:val="16"/>
                              <w:lang w:val="en-US"/>
                            </w:rPr>
                            <w:t xml:space="preserve">ru</w:t>
                          </w:r>
                          <w:r>
                            <w:rPr>
                              <w:rStyle w:val="1285"/>
                              <w:rFonts w:ascii="PF Din Text Cond Pro Light" w:hAnsi="PF Din Text Cond Pro Light"/>
                              <w:sz w:val="16"/>
                              <w:szCs w:val="16"/>
                              <w:lang w:val="en-US"/>
                            </w:rPr>
                            <w:fldChar w:fldCharType="end"/>
                          </w:r>
                          <w:r>
                            <w:rPr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</w:r>
                          <w:r>
                            <w:rPr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</w:r>
                        </w:p>
                        <w:p>
                          <w:pPr>
                            <w:pStyle w:val="1319"/>
                            <w:rPr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PF Din Text Cond Pro Light" w:hAnsi="PF Din Text Cond Pro Light"/>
                              <w:color w:val="000000"/>
                              <w:sz w:val="16"/>
                              <w:szCs w:val="16"/>
                            </w:rPr>
                            <w:t xml:space="preserve">ОКПО 77293314, ОГРН 1057746555811, ИНН 5036065113, КПП 503243001</w:t>
                          </w:r>
                          <w:r>
                            <w:rPr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</w:r>
                          <w:r>
                            <w:rPr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</w:r>
                        </w:p>
                        <w:p>
                          <w:pPr>
                            <w:pStyle w:val="1319"/>
                            <w:rPr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</w:r>
                          <w:r>
                            <w:rPr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</w:r>
                          <w:r>
                            <w:rPr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</w:r>
                        </w:p>
                        <w:p>
                          <w:pPr>
                            <w:pStyle w:val="1319"/>
                            <w:rPr>
                              <w:szCs w:val="16"/>
                            </w:rPr>
                          </w:pPr>
                          <w:r>
                            <w:rPr>
                              <w:szCs w:val="16"/>
                            </w:rPr>
                          </w:r>
                          <w:r>
                            <w:rPr>
                              <w:szCs w:val="16"/>
                            </w:rPr>
                          </w:r>
                          <w:r>
                            <w:rPr>
                              <w:szCs w:val="16"/>
                            </w:rPr>
                          </w:r>
                        </w:p>
                        <w:p>
                          <w:pPr>
                            <w:pStyle w:val="1276"/>
                          </w:pPr>
                          <w:r/>
                          <w:r/>
                        </w:p>
                      </w:txbxContent>
                    </wps:txbx>
                    <wps:bodyPr wrap="square" upright="1"/>
                  </wps:wsp>
                </a:graphicData>
              </a:graphic>
            </wp:anchor>
          </w:drawing>
        </mc:Choice>
        <mc:Fallback>
          <w:pict>
            <v:shape id="shape 6" o:spid="_x0000_s6" o:spt="1" type="#_x0000_t1" style="position:absolute;z-index:-250609658;o:allowoverlap:true;o:allowincell:true;mso-position-horizontal-relative:text;margin-left:258.35pt;mso-position-horizontal:absolute;mso-position-vertical-relative:text;margin-top:-3.10pt;mso-position-vertical:absolute;width:236.45pt;height:89.10pt;mso-wrap-distance-left:0.00pt;mso-wrap-distance-top:0.00pt;mso-wrap-distance-right:0.00pt;mso-wrap-distance-bottom:0.00pt;visibility:visible;" filled="f" stroked="f">
              <v:textbox inset="0,0,0,0">
                <w:txbxContent>
                  <w:p>
                    <w:pPr>
                      <w:pStyle w:val="1319"/>
                      <w:rPr>
                        <w:rFonts w:ascii="PF Din Text Cond Pro Light" w:hAnsi="PF Din Text Cond Pro Light"/>
                        <w:sz w:val="16"/>
                        <w:szCs w:val="16"/>
                      </w:rPr>
                    </w:pPr>
                    <w:r>
                      <w:rPr>
                        <w:rFonts w:ascii="PF Din Text Cond Pro Light" w:hAnsi="PF Din Text Cond Pro Light"/>
                        <w:color w:val="000000"/>
                        <w:sz w:val="16"/>
                        <w:szCs w:val="16"/>
                      </w:rPr>
                      <w:t xml:space="preserve">Филиал ПАО «Россети Московский регион» -</w:t>
                    </w:r>
                    <w:r>
                      <w:rPr>
                        <w:rFonts w:ascii="PF Din Text Cond Pro Light" w:hAnsi="PF Din Text Cond Pro Light"/>
                        <w:sz w:val="16"/>
                        <w:szCs w:val="16"/>
                      </w:rPr>
                    </w:r>
                    <w:r>
                      <w:rPr>
                        <w:rFonts w:ascii="PF Din Text Cond Pro Light" w:hAnsi="PF Din Text Cond Pro Light"/>
                        <w:sz w:val="16"/>
                        <w:szCs w:val="16"/>
                      </w:rPr>
                    </w:r>
                  </w:p>
                  <w:p>
                    <w:pPr>
                      <w:pStyle w:val="1319"/>
                      <w:rPr>
                        <w:rFonts w:ascii="PF Din Text Cond Pro Light" w:hAnsi="PF Din Text Cond Pro Light"/>
                        <w:sz w:val="16"/>
                        <w:szCs w:val="16"/>
                      </w:rPr>
                    </w:pPr>
                    <w:r>
                      <w:rPr>
                        <w:rFonts w:ascii="PF Din Text Cond Pro Light" w:hAnsi="PF Din Text Cond Pro Light"/>
                        <w:color w:val="000000"/>
                        <w:sz w:val="16"/>
                        <w:szCs w:val="16"/>
                      </w:rPr>
                      <w:t xml:space="preserve">Западные электрические сети</w:t>
                    </w:r>
                    <w:r>
                      <w:rPr>
                        <w:rFonts w:ascii="PF Din Text Cond Pro Light" w:hAnsi="PF Din Text Cond Pro Light"/>
                        <w:sz w:val="16"/>
                        <w:szCs w:val="16"/>
                      </w:rPr>
                    </w:r>
                    <w:r>
                      <w:rPr>
                        <w:rFonts w:ascii="PF Din Text Cond Pro Light" w:hAnsi="PF Din Text Cond Pro Light"/>
                        <w:sz w:val="16"/>
                        <w:szCs w:val="16"/>
                      </w:rPr>
                    </w:r>
                  </w:p>
                  <w:p>
                    <w:pPr>
                      <w:pStyle w:val="1319"/>
                      <w:rPr>
                        <w:rFonts w:ascii="PF Din Text Cond Pro Light" w:hAnsi="PF Din Text Cond Pro Light"/>
                        <w:sz w:val="16"/>
                        <w:szCs w:val="16"/>
                      </w:rPr>
                    </w:pPr>
                    <w:r>
                      <w:rPr>
                        <w:rFonts w:ascii="PF Din Text Cond Pro Light" w:hAnsi="PF Din Text Cond Pro Light"/>
                        <w:color w:val="000000"/>
                        <w:sz w:val="16"/>
                        <w:szCs w:val="16"/>
                      </w:rPr>
                      <w:t xml:space="preserve">РФ, 143006, Московская обл., г. Одинцово, Транспортный проезд, д. 32 </w:t>
                    </w:r>
                    <w:r>
                      <w:rPr>
                        <w:rFonts w:ascii="PF Din Text Cond Pro Light" w:hAnsi="PF Din Text Cond Pro Light"/>
                        <w:sz w:val="16"/>
                        <w:szCs w:val="16"/>
                      </w:rPr>
                    </w:r>
                    <w:r>
                      <w:rPr>
                        <w:rFonts w:ascii="PF Din Text Cond Pro Light" w:hAnsi="PF Din Text Cond Pro Light"/>
                        <w:sz w:val="16"/>
                        <w:szCs w:val="16"/>
                      </w:rPr>
                    </w:r>
                  </w:p>
                  <w:p>
                    <w:pPr>
                      <w:pStyle w:val="1319"/>
                      <w:rPr>
                        <w:rFonts w:ascii="PF Din Text Cond Pro Light" w:hAnsi="PF Din Text Cond Pro Light"/>
                        <w:sz w:val="16"/>
                        <w:szCs w:val="16"/>
                      </w:rPr>
                    </w:pPr>
                    <w:r>
                      <w:rPr>
                        <w:rFonts w:ascii="PF Din Text Cond Pro Light" w:hAnsi="PF Din Text Cond Pro Light"/>
                        <w:color w:val="000000"/>
                        <w:sz w:val="16"/>
                        <w:szCs w:val="16"/>
                      </w:rPr>
                      <w:t xml:space="preserve">Тел.: 8 (495) 5257300 вн. 21-56 канцелярия, 8 (495) 5257302 приемная</w:t>
                    </w:r>
                    <w:r>
                      <w:rPr>
                        <w:rFonts w:ascii="PF Din Text Cond Pro Light" w:hAnsi="PF Din Text Cond Pro Light"/>
                        <w:sz w:val="16"/>
                        <w:szCs w:val="16"/>
                      </w:rPr>
                    </w:r>
                    <w:r>
                      <w:rPr>
                        <w:rFonts w:ascii="PF Din Text Cond Pro Light" w:hAnsi="PF Din Text Cond Pro Light"/>
                        <w:sz w:val="16"/>
                        <w:szCs w:val="16"/>
                      </w:rPr>
                    </w:r>
                  </w:p>
                  <w:p>
                    <w:pPr>
                      <w:pStyle w:val="1319"/>
                      <w:rPr>
                        <w:rFonts w:ascii="PF Din Text Cond Pro Light" w:hAnsi="PF Din Text Cond Pro Light"/>
                        <w:sz w:val="16"/>
                        <w:szCs w:val="16"/>
                      </w:rPr>
                    </w:pPr>
                    <w:r>
                      <w:fldChar w:fldCharType="begin"/>
                    </w:r>
                    <w:r>
                      <w:instrText xml:space="preserve"> HYPERLINK "http://www.rossetimr.ru/" \h </w:instrText>
                    </w:r>
                    <w:r>
                      <w:fldChar w:fldCharType="separate"/>
                    </w:r>
                    <w:r>
                      <w:rPr>
                        <w:rStyle w:val="1285"/>
                        <w:rFonts w:ascii="PF Din Text Cond Pro Light" w:hAnsi="PF Din Text Cond Pro Light"/>
                        <w:b/>
                        <w:sz w:val="16"/>
                        <w:szCs w:val="16"/>
                        <w:lang w:val="en-US"/>
                      </w:rPr>
                      <w:t xml:space="preserve">www</w:t>
                    </w:r>
                    <w:r>
                      <w:rPr>
                        <w:rStyle w:val="1285"/>
                        <w:rFonts w:ascii="PF Din Text Cond Pro Light" w:hAnsi="PF Din Text Cond Pro Light"/>
                        <w:b/>
                        <w:sz w:val="16"/>
                        <w:szCs w:val="16"/>
                      </w:rPr>
                      <w:t xml:space="preserve">.</w:t>
                    </w:r>
                    <w:r>
                      <w:rPr>
                        <w:rStyle w:val="1285"/>
                        <w:rFonts w:ascii="PF Din Text Cond Pro Light" w:hAnsi="PF Din Text Cond Pro Light"/>
                        <w:b/>
                        <w:sz w:val="16"/>
                        <w:szCs w:val="16"/>
                        <w:lang w:val="en-US"/>
                      </w:rPr>
                      <w:t xml:space="preserve">rossetimr</w:t>
                    </w:r>
                    <w:r>
                      <w:rPr>
                        <w:rStyle w:val="1285"/>
                        <w:rFonts w:ascii="PF Din Text Cond Pro Light" w:hAnsi="PF Din Text Cond Pro Light"/>
                        <w:b/>
                        <w:sz w:val="16"/>
                        <w:szCs w:val="16"/>
                      </w:rPr>
                      <w:t xml:space="preserve">.</w:t>
                    </w:r>
                    <w:r>
                      <w:rPr>
                        <w:rStyle w:val="1285"/>
                        <w:rFonts w:ascii="PF Din Text Cond Pro Light" w:hAnsi="PF Din Text Cond Pro Light"/>
                        <w:b/>
                        <w:sz w:val="16"/>
                        <w:szCs w:val="16"/>
                        <w:lang w:val="en-US"/>
                      </w:rPr>
                      <w:t xml:space="preserve">ru</w:t>
                    </w:r>
                    <w:r>
                      <w:rPr>
                        <w:rStyle w:val="1285"/>
                        <w:rFonts w:ascii="PF Din Text Cond Pro Light" w:hAnsi="PF Din Text Cond Pro Light"/>
                        <w:b/>
                        <w:sz w:val="16"/>
                        <w:szCs w:val="16"/>
                        <w:lang w:val="en-US"/>
                      </w:rPr>
                      <w:fldChar w:fldCharType="end"/>
                    </w:r>
                    <w:r>
                      <w:rPr>
                        <w:rFonts w:ascii="PF Din Text Cond Pro Light" w:hAnsi="PF Din Text Cond Pro Light"/>
                        <w:color w:val="000000"/>
                        <w:sz w:val="16"/>
                        <w:szCs w:val="16"/>
                      </w:rPr>
                      <w:t xml:space="preserve">, </w:t>
                    </w:r>
                    <w:r>
                      <w:rPr>
                        <w:rFonts w:ascii="PF Din Text Cond Pro Light" w:hAnsi="PF Din Text Cond Pro Light"/>
                        <w:color w:val="000000"/>
                        <w:sz w:val="16"/>
                        <w:szCs w:val="16"/>
                        <w:lang w:val="en-US"/>
                      </w:rPr>
                      <w:t xml:space="preserve">e</w:t>
                    </w:r>
                    <w:r>
                      <w:rPr>
                        <w:rFonts w:ascii="PF Din Text Cond Pro Light" w:hAnsi="PF Din Text Cond Pro Light"/>
                        <w:color w:val="000000"/>
                        <w:sz w:val="16"/>
                        <w:szCs w:val="16"/>
                      </w:rPr>
                      <w:t xml:space="preserve">-</w:t>
                    </w:r>
                    <w:r>
                      <w:rPr>
                        <w:rFonts w:ascii="PF Din Text Cond Pro Light" w:hAnsi="PF Din Text Cond Pro Light"/>
                        <w:color w:val="000000"/>
                        <w:sz w:val="16"/>
                        <w:szCs w:val="16"/>
                        <w:lang w:val="en-US"/>
                      </w:rPr>
                      <w:t xml:space="preserve">mail</w:t>
                    </w:r>
                    <w:r>
                      <w:rPr>
                        <w:rFonts w:ascii="PF Din Text Cond Pro Light" w:hAnsi="PF Din Text Cond Pro Light"/>
                        <w:color w:val="000000"/>
                        <w:sz w:val="16"/>
                        <w:szCs w:val="16"/>
                      </w:rPr>
                      <w:t xml:space="preserve">: </w:t>
                    </w:r>
                    <w:r>
                      <w:fldChar w:fldCharType="begin"/>
                    </w:r>
                    <w:r>
                      <w:instrText xml:space="preserve"> HYPERLINK "mailto:zes@rossetimr.ru" \h </w:instrText>
                    </w:r>
                    <w:r>
                      <w:fldChar w:fldCharType="separate"/>
                    </w:r>
                    <w:r>
                      <w:rPr>
                        <w:rStyle w:val="1285"/>
                        <w:rFonts w:ascii="PF Din Text Cond Pro Light" w:hAnsi="PF Din Text Cond Pro Light"/>
                        <w:sz w:val="16"/>
                        <w:szCs w:val="16"/>
                        <w:lang w:val="en-US"/>
                      </w:rPr>
                      <w:t xml:space="preserve">zes</w:t>
                    </w:r>
                    <w:r>
                      <w:rPr>
                        <w:rStyle w:val="1285"/>
                        <w:rFonts w:ascii="PF Din Text Cond Pro Light" w:hAnsi="PF Din Text Cond Pro Light"/>
                        <w:sz w:val="16"/>
                        <w:szCs w:val="16"/>
                      </w:rPr>
                      <w:t xml:space="preserve">@</w:t>
                    </w:r>
                    <w:r>
                      <w:rPr>
                        <w:rStyle w:val="1285"/>
                        <w:rFonts w:ascii="PF Din Text Cond Pro Light" w:hAnsi="PF Din Text Cond Pro Light"/>
                        <w:sz w:val="16"/>
                        <w:szCs w:val="16"/>
                        <w:lang w:val="en-US"/>
                      </w:rPr>
                      <w:t xml:space="preserve">rossetimr</w:t>
                    </w:r>
                    <w:r>
                      <w:rPr>
                        <w:rStyle w:val="1285"/>
                        <w:rFonts w:ascii="PF Din Text Cond Pro Light" w:hAnsi="PF Din Text Cond Pro Light"/>
                        <w:sz w:val="16"/>
                        <w:szCs w:val="16"/>
                      </w:rPr>
                      <w:t xml:space="preserve">.</w:t>
                    </w:r>
                    <w:r>
                      <w:rPr>
                        <w:rStyle w:val="1285"/>
                        <w:rFonts w:ascii="PF Din Text Cond Pro Light" w:hAnsi="PF Din Text Cond Pro Light"/>
                        <w:sz w:val="16"/>
                        <w:szCs w:val="16"/>
                        <w:lang w:val="en-US"/>
                      </w:rPr>
                      <w:t xml:space="preserve">ru</w:t>
                    </w:r>
                    <w:r>
                      <w:rPr>
                        <w:rStyle w:val="1285"/>
                        <w:rFonts w:ascii="PF Din Text Cond Pro Light" w:hAnsi="PF Din Text Cond Pro Light"/>
                        <w:sz w:val="16"/>
                        <w:szCs w:val="16"/>
                        <w:lang w:val="en-US"/>
                      </w:rPr>
                      <w:fldChar w:fldCharType="end"/>
                    </w:r>
                    <w:r>
                      <w:rPr>
                        <w:rFonts w:ascii="PF Din Text Cond Pro Light" w:hAnsi="PF Din Text Cond Pro Light"/>
                        <w:sz w:val="16"/>
                        <w:szCs w:val="16"/>
                      </w:rPr>
                    </w:r>
                    <w:r>
                      <w:rPr>
                        <w:rFonts w:ascii="PF Din Text Cond Pro Light" w:hAnsi="PF Din Text Cond Pro Light"/>
                        <w:sz w:val="16"/>
                        <w:szCs w:val="16"/>
                      </w:rPr>
                    </w:r>
                  </w:p>
                  <w:p>
                    <w:pPr>
                      <w:pStyle w:val="1319"/>
                      <w:rPr>
                        <w:rFonts w:ascii="PF Din Text Cond Pro Light" w:hAnsi="PF Din Text Cond Pro Light"/>
                        <w:sz w:val="16"/>
                        <w:szCs w:val="16"/>
                      </w:rPr>
                    </w:pPr>
                    <w:r>
                      <w:rPr>
                        <w:rFonts w:ascii="PF Din Text Cond Pro Light" w:hAnsi="PF Din Text Cond Pro Light"/>
                        <w:color w:val="000000"/>
                        <w:sz w:val="16"/>
                        <w:szCs w:val="16"/>
                      </w:rPr>
                      <w:t xml:space="preserve">ОКПО 77293314, ОГРН 1057746555811, ИНН 5036065113, КПП 503243001</w:t>
                    </w:r>
                    <w:r>
                      <w:rPr>
                        <w:rFonts w:ascii="PF Din Text Cond Pro Light" w:hAnsi="PF Din Text Cond Pro Light"/>
                        <w:sz w:val="16"/>
                        <w:szCs w:val="16"/>
                      </w:rPr>
                    </w:r>
                    <w:r>
                      <w:rPr>
                        <w:rFonts w:ascii="PF Din Text Cond Pro Light" w:hAnsi="PF Din Text Cond Pro Light"/>
                        <w:sz w:val="16"/>
                        <w:szCs w:val="16"/>
                      </w:rPr>
                    </w:r>
                  </w:p>
                  <w:p>
                    <w:pPr>
                      <w:pStyle w:val="1319"/>
                      <w:rPr>
                        <w:rFonts w:ascii="PF Din Text Cond Pro Light" w:hAnsi="PF Din Text Cond Pro Light"/>
                        <w:sz w:val="16"/>
                        <w:szCs w:val="16"/>
                      </w:rPr>
                    </w:pPr>
                    <w:r>
                      <w:rPr>
                        <w:rFonts w:ascii="PF Din Text Cond Pro Light" w:hAnsi="PF Din Text Cond Pro Light"/>
                        <w:sz w:val="16"/>
                        <w:szCs w:val="16"/>
                      </w:rPr>
                    </w:r>
                    <w:r>
                      <w:rPr>
                        <w:rFonts w:ascii="PF Din Text Cond Pro Light" w:hAnsi="PF Din Text Cond Pro Light"/>
                        <w:sz w:val="16"/>
                        <w:szCs w:val="16"/>
                      </w:rPr>
                    </w:r>
                    <w:r>
                      <w:rPr>
                        <w:rFonts w:ascii="PF Din Text Cond Pro Light" w:hAnsi="PF Din Text Cond Pro Light"/>
                        <w:sz w:val="16"/>
                        <w:szCs w:val="16"/>
                      </w:rPr>
                    </w:r>
                  </w:p>
                  <w:p>
                    <w:pPr>
                      <w:pStyle w:val="1319"/>
                      <w:rPr>
                        <w:szCs w:val="16"/>
                      </w:rPr>
                    </w:pPr>
                    <w:r>
                      <w:rPr>
                        <w:szCs w:val="16"/>
                      </w:rPr>
                    </w:r>
                    <w:r>
                      <w:rPr>
                        <w:szCs w:val="16"/>
                      </w:rPr>
                    </w:r>
                    <w:r>
                      <w:rPr>
                        <w:szCs w:val="16"/>
                      </w:rPr>
                    </w:r>
                  </w:p>
                  <w:p>
                    <w:pPr>
                      <w:pStyle w:val="1276"/>
                    </w:pPr>
                    <w:r/>
                    <w:r/>
                  </w:p>
                </w:txbxContent>
              </v:textbox>
            </v:shape>
          </w:pict>
        </mc:Fallback>
      </mc:AlternateContent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250609657" behindDoc="1" locked="0" layoutInCell="1" allowOverlap="1">
              <wp:simplePos x="0" y="0"/>
              <wp:positionH relativeFrom="column">
                <wp:posOffset>-432434</wp:posOffset>
              </wp:positionH>
              <wp:positionV relativeFrom="paragraph">
                <wp:posOffset>1016635</wp:posOffset>
              </wp:positionV>
              <wp:extent cx="1091565" cy="253365"/>
              <wp:effectExtent l="0" t="0" r="0" b="0"/>
              <wp:wrapNone/>
              <wp:docPr id="8" name="_x0000_s205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>
                        <a:off x="0" y="0"/>
                        <a:ext cx="1091565" cy="253365"/>
                      </a:xfrm>
                      <a:prstGeom prst="rect">
                        <a:avLst/>
                      </a:prstGeom>
                      <a:noFill/>
                      <a:ln>
                        <a:noFill/>
                        <a:round/>
                      </a:ln>
                    </wps:spPr>
                    <wps:txbx>
                      <w:txbxContent>
                        <w:p>
                          <w:pPr>
                            <w:pStyle w:val="1319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  <w:t xml:space="preserve">Июнь</w:t>
                          </w:r>
                          <w:r>
                            <w:rPr>
                              <w:color w:val="000000"/>
                            </w:rPr>
                          </w:r>
                          <w:r>
                            <w:rPr>
                              <w:color w:val="000000"/>
                            </w:rPr>
                          </w:r>
                        </w:p>
                        <w:p>
                          <w:pPr>
                            <w:pStyle w:val="1319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  <w:t xml:space="preserve"> 2026</w:t>
                          </w:r>
                          <w:r>
                            <w:rPr>
                              <w:color w:val="000000"/>
                            </w:rPr>
                          </w:r>
                          <w:r>
                            <w:rPr>
                              <w:color w:val="000000"/>
                            </w:rPr>
                          </w:r>
                        </w:p>
                        <w:p>
                          <w:pPr>
                            <w:pStyle w:val="1319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</w:r>
                          <w:r>
                            <w:rPr>
                              <w:color w:val="000000"/>
                            </w:rPr>
                          </w:r>
                          <w:r>
                            <w:rPr>
                              <w:color w:val="000000"/>
                            </w:rPr>
                          </w:r>
                        </w:p>
                        <w:p>
                          <w:pPr>
                            <w:pStyle w:val="1319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</w:r>
                          <w:r>
                            <w:rPr>
                              <w:color w:val="000000"/>
                            </w:rPr>
                          </w:r>
                          <w:r>
                            <w:rPr>
                              <w:color w:val="000000"/>
                            </w:rPr>
                          </w:r>
                        </w:p>
                        <w:p>
                          <w:pPr>
                            <w:pStyle w:val="1319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  <w:t xml:space="preserve">202</w:t>
                          </w:r>
                          <w:r>
                            <w:rPr>
                              <w:color w:val="000000"/>
                            </w:rPr>
                            <w:t xml:space="preserve"> 2025</w:t>
                          </w:r>
                          <w:r>
                            <w:rPr>
                              <w:color w:val="000000"/>
                            </w:rPr>
                          </w:r>
                          <w:r>
                            <w:rPr>
                              <w:color w:val="000000"/>
                            </w:rPr>
                          </w:r>
                        </w:p>
                        <w:p>
                          <w:pPr>
                            <w:pStyle w:val="1276"/>
                          </w:pPr>
                          <w:r/>
                          <w:r/>
                        </w:p>
                      </w:txbxContent>
                    </wps:txbx>
                    <wps:bodyPr wrap="square" upright="1"/>
                  </wps:wsp>
                </a:graphicData>
              </a:graphic>
            </wp:anchor>
          </w:drawing>
        </mc:Choice>
        <mc:Fallback>
          <w:pict>
            <v:shape id="shape 7" o:spid="_x0000_s7" o:spt="1" type="#_x0000_t1" style="position:absolute;z-index:-250609657;o:allowoverlap:true;o:allowincell:true;mso-position-horizontal-relative:text;margin-left:-34.05pt;mso-position-horizontal:absolute;mso-position-vertical-relative:text;margin-top:80.05pt;mso-position-vertical:absolute;width:85.95pt;height:19.95pt;mso-wrap-distance-left:0.00pt;mso-wrap-distance-top:0.00pt;mso-wrap-distance-right:0.00pt;mso-wrap-distance-bottom:0.00pt;visibility:visible;" filled="f" stroked="f">
              <v:textbox inset="0,0,0,0">
                <w:txbxContent>
                  <w:p>
                    <w:pPr>
                      <w:pStyle w:val="1319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  <w:t xml:space="preserve">Июнь</w:t>
                    </w:r>
                    <w:r>
                      <w:rPr>
                        <w:color w:val="000000"/>
                      </w:rPr>
                    </w:r>
                    <w:r>
                      <w:rPr>
                        <w:color w:val="000000"/>
                      </w:rPr>
                    </w:r>
                  </w:p>
                  <w:p>
                    <w:pPr>
                      <w:pStyle w:val="1319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  <w:t xml:space="preserve"> 2026</w:t>
                    </w:r>
                    <w:r>
                      <w:rPr>
                        <w:color w:val="000000"/>
                      </w:rPr>
                    </w:r>
                    <w:r>
                      <w:rPr>
                        <w:color w:val="000000"/>
                      </w:rPr>
                    </w:r>
                  </w:p>
                  <w:p>
                    <w:pPr>
                      <w:pStyle w:val="1319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</w:r>
                    <w:r>
                      <w:rPr>
                        <w:color w:val="000000"/>
                      </w:rPr>
                    </w:r>
                    <w:r>
                      <w:rPr>
                        <w:color w:val="000000"/>
                      </w:rPr>
                    </w:r>
                  </w:p>
                  <w:p>
                    <w:pPr>
                      <w:pStyle w:val="1319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</w:r>
                    <w:r>
                      <w:rPr>
                        <w:color w:val="000000"/>
                      </w:rPr>
                    </w:r>
                    <w:r>
                      <w:rPr>
                        <w:color w:val="000000"/>
                      </w:rPr>
                    </w:r>
                  </w:p>
                  <w:p>
                    <w:pPr>
                      <w:pStyle w:val="1319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  <w:t xml:space="preserve">202</w:t>
                    </w:r>
                    <w:r>
                      <w:rPr>
                        <w:color w:val="000000"/>
                      </w:rPr>
                      <w:t xml:space="preserve"> 2025</w:t>
                    </w:r>
                    <w:r>
                      <w:rPr>
                        <w:color w:val="000000"/>
                      </w:rPr>
                    </w:r>
                    <w:r>
                      <w:rPr>
                        <w:color w:val="000000"/>
                      </w:rPr>
                    </w:r>
                  </w:p>
                  <w:p>
                    <w:pPr>
                      <w:pStyle w:val="1276"/>
                    </w:pPr>
                    <w:r/>
                    <w:r/>
                  </w:p>
                </w:txbxContent>
              </v:textbox>
            </v:shape>
          </w:pict>
        </mc:Fallback>
      </mc:AlternateContent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250609656" behindDoc="1" locked="0" layoutInCell="1" allowOverlap="1">
              <wp:simplePos x="0" y="0"/>
              <wp:positionH relativeFrom="column">
                <wp:posOffset>862965</wp:posOffset>
              </wp:positionH>
              <wp:positionV relativeFrom="paragraph">
                <wp:posOffset>1020445</wp:posOffset>
              </wp:positionV>
              <wp:extent cx="1091565" cy="253365"/>
              <wp:effectExtent l="0" t="0" r="0" b="0"/>
              <wp:wrapNone/>
              <wp:docPr id="9" name="_x0000_s205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>
                        <a:off x="0" y="0"/>
                        <a:ext cx="1091565" cy="2533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1319"/>
                            <w:jc w:val="center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</w:r>
                          <w:r>
                            <w:rPr>
                              <w:color w:val="000000"/>
                            </w:rPr>
                          </w:r>
                          <w:r>
                            <w:rPr>
                              <w:color w:val="000000"/>
                            </w:rPr>
                          </w:r>
                        </w:p>
                        <w:p>
                          <w:pPr>
                            <w:pStyle w:val="1276"/>
                          </w:pPr>
                          <w:r/>
                          <w:r/>
                        </w:p>
                      </w:txbxContent>
                    </wps:txbx>
                    <wps:bodyPr wrap="square" upright="1"/>
                  </wps:wsp>
                </a:graphicData>
              </a:graphic>
            </wp:anchor>
          </w:drawing>
        </mc:Choice>
        <mc:Fallback>
          <w:pict>
            <v:shape id="shape 8" o:spid="_x0000_s8" o:spt="1" type="#_x0000_t1" style="position:absolute;z-index:-250609656;o:allowoverlap:true;o:allowincell:true;mso-position-horizontal-relative:text;margin-left:67.95pt;mso-position-horizontal:absolute;mso-position-vertical-relative:text;margin-top:80.35pt;mso-position-vertical:absolute;width:85.95pt;height:19.95pt;mso-wrap-distance-left:0.00pt;mso-wrap-distance-top:0.00pt;mso-wrap-distance-right:0.00pt;mso-wrap-distance-bottom:0.00pt;visibility:visible;" filled="f" stroked="f">
              <v:textbox inset="0,0,0,0">
                <w:txbxContent>
                  <w:p>
                    <w:pPr>
                      <w:pStyle w:val="1319"/>
                      <w:jc w:val="center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</w:r>
                    <w:r>
                      <w:rPr>
                        <w:color w:val="000000"/>
                      </w:rPr>
                    </w:r>
                    <w:r>
                      <w:rPr>
                        <w:color w:val="000000"/>
                      </w:rPr>
                    </w:r>
                  </w:p>
                  <w:p>
                    <w:pPr>
                      <w:pStyle w:val="1276"/>
                    </w:pPr>
                    <w:r/>
                    <w:r/>
                  </w:p>
                </w:txbxContent>
              </v:textbox>
            </v:shape>
          </w:pict>
        </mc:Fallback>
      </mc:AlternateContent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250609655" behindDoc="1" locked="0" layoutInCell="1" allowOverlap="1">
              <wp:simplePos x="0" y="0"/>
              <wp:positionH relativeFrom="column">
                <wp:posOffset>-428624</wp:posOffset>
              </wp:positionH>
              <wp:positionV relativeFrom="paragraph">
                <wp:posOffset>1249045</wp:posOffset>
              </wp:positionV>
              <wp:extent cx="1091565" cy="253365"/>
              <wp:effectExtent l="0" t="0" r="0" b="0"/>
              <wp:wrapNone/>
              <wp:docPr id="10" name="_x0000_s205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>
                        <a:off x="0" y="0"/>
                        <a:ext cx="1091565" cy="253365"/>
                      </a:xfrm>
                      <a:prstGeom prst="rect">
                        <a:avLst/>
                      </a:prstGeom>
                      <a:noFill/>
                      <a:ln>
                        <a:noFill/>
                        <a:round/>
                      </a:ln>
                    </wps:spPr>
                    <wps:txbx>
                      <w:txbxContent>
                        <w:p>
                          <w:pPr>
                            <w:pStyle w:val="1319"/>
                            <w:jc w:val="center"/>
                            <w:rPr>
                              <w:lang w:val="en-US"/>
                            </w:rPr>
                          </w:pPr>
                          <w:r>
                            <w:rPr>
                              <w:lang w:val="en-US"/>
                            </w:rPr>
                          </w:r>
                          <w:r>
                            <w:rPr>
                              <w:lang w:val="en-US"/>
                            </w:rPr>
                          </w:r>
                          <w:r>
                            <w:rPr>
                              <w:lang w:val="en-US"/>
                            </w:rPr>
                          </w:r>
                        </w:p>
                        <w:p>
                          <w:pPr>
                            <w:pStyle w:val="1276"/>
                          </w:pPr>
                          <w:r/>
                          <w:r/>
                        </w:p>
                      </w:txbxContent>
                    </wps:txbx>
                    <wps:bodyPr wrap="square" upright="1"/>
                  </wps:wsp>
                </a:graphicData>
              </a:graphic>
            </wp:anchor>
          </w:drawing>
        </mc:Choice>
        <mc:Fallback>
          <w:pict>
            <v:shape id="shape 9" o:spid="_x0000_s9" o:spt="1" type="#_x0000_t1" style="position:absolute;z-index:-250609655;o:allowoverlap:true;o:allowincell:true;mso-position-horizontal-relative:text;margin-left:-33.75pt;mso-position-horizontal:absolute;mso-position-vertical-relative:text;margin-top:98.35pt;mso-position-vertical:absolute;width:85.95pt;height:19.95pt;mso-wrap-distance-left:0.00pt;mso-wrap-distance-top:0.00pt;mso-wrap-distance-right:0.00pt;mso-wrap-distance-bottom:0.00pt;visibility:visible;" filled="f" stroked="f">
              <v:textbox inset="0,0,0,0">
                <w:txbxContent>
                  <w:p>
                    <w:pPr>
                      <w:pStyle w:val="1319"/>
                      <w:jc w:val="center"/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</w:r>
                    <w:r>
                      <w:rPr>
                        <w:lang w:val="en-US"/>
                      </w:rPr>
                    </w:r>
                    <w:r>
                      <w:rPr>
                        <w:lang w:val="en-US"/>
                      </w:rPr>
                    </w:r>
                  </w:p>
                  <w:p>
                    <w:pPr>
                      <w:pStyle w:val="1276"/>
                    </w:pPr>
                    <w:r/>
                    <w:r/>
                  </w:p>
                </w:txbxContent>
              </v:textbox>
            </v:shape>
          </w:pict>
        </mc:Fallback>
      </mc:AlternateContent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250609654" behindDoc="1" locked="0" layoutInCell="1" allowOverlap="1">
              <wp:simplePos x="0" y="0"/>
              <wp:positionH relativeFrom="column">
                <wp:posOffset>866775</wp:posOffset>
              </wp:positionH>
              <wp:positionV relativeFrom="paragraph">
                <wp:posOffset>1252855</wp:posOffset>
              </wp:positionV>
              <wp:extent cx="1091565" cy="253365"/>
              <wp:effectExtent l="0" t="0" r="0" b="0"/>
              <wp:wrapNone/>
              <wp:docPr id="11" name="_x0000_s204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>
                        <a:off x="0" y="0"/>
                        <a:ext cx="1091565" cy="253365"/>
                      </a:xfrm>
                      <a:prstGeom prst="rect">
                        <a:avLst/>
                      </a:prstGeom>
                      <a:noFill/>
                      <a:ln>
                        <a:noFill/>
                        <a:round/>
                      </a:ln>
                    </wps:spPr>
                    <wps:txbx>
                      <w:txbxContent>
                        <w:p>
                          <w:pPr>
                            <w:pStyle w:val="1319"/>
                            <w:jc w:val="center"/>
                            <w:rPr>
                              <w:lang w:val="en-US"/>
                            </w:rPr>
                          </w:pPr>
                          <w:r>
                            <w:rPr>
                              <w:lang w:val="en-US"/>
                            </w:rPr>
                          </w:r>
                          <w:r>
                            <w:rPr>
                              <w:lang w:val="en-US"/>
                            </w:rPr>
                          </w:r>
                          <w:r>
                            <w:rPr>
                              <w:lang w:val="en-US"/>
                            </w:rPr>
                          </w:r>
                        </w:p>
                        <w:p>
                          <w:pPr>
                            <w:pStyle w:val="1276"/>
                          </w:pPr>
                          <w:r/>
                          <w:r/>
                        </w:p>
                      </w:txbxContent>
                    </wps:txbx>
                    <wps:bodyPr wrap="square" upright="1"/>
                  </wps:wsp>
                </a:graphicData>
              </a:graphic>
            </wp:anchor>
          </w:drawing>
        </mc:Choice>
        <mc:Fallback>
          <w:pict>
            <v:shape id="shape 10" o:spid="_x0000_s10" o:spt="1" type="#_x0000_t1" style="position:absolute;z-index:-250609654;o:allowoverlap:true;o:allowincell:true;mso-position-horizontal-relative:text;margin-left:68.25pt;mso-position-horizontal:absolute;mso-position-vertical-relative:text;margin-top:98.65pt;mso-position-vertical:absolute;width:85.95pt;height:19.95pt;mso-wrap-distance-left:0.00pt;mso-wrap-distance-top:0.00pt;mso-wrap-distance-right:0.00pt;mso-wrap-distance-bottom:0.00pt;visibility:visible;" filled="f" stroked="f">
              <v:textbox inset="0,0,0,0">
                <w:txbxContent>
                  <w:p>
                    <w:pPr>
                      <w:pStyle w:val="1319"/>
                      <w:jc w:val="center"/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</w:r>
                    <w:r>
                      <w:rPr>
                        <w:lang w:val="en-US"/>
                      </w:rPr>
                    </w:r>
                    <w:r>
                      <w:rPr>
                        <w:lang w:val="en-US"/>
                      </w:rPr>
                    </w:r>
                  </w:p>
                  <w:p>
                    <w:pPr>
                      <w:pStyle w:val="1276"/>
                    </w:pPr>
                    <w:r/>
                    <w:r/>
                  </w:p>
                </w:txbxContent>
              </v:textbox>
            </v:shape>
          </w:pict>
        </mc:Fallback>
      </mc:AlternateContent>
    </w:r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40" w:hanging="540"/>
        <w:tabs>
          <w:tab w:val="num" w:pos="0" w:leader="none"/>
        </w:tabs>
      </w:pPr>
    </w:lvl>
    <w:lvl w:ilvl="1">
      <w:start w:val="6"/>
      <w:numFmt w:val="decimal"/>
      <w:isLgl w:val="false"/>
      <w:suff w:val="tab"/>
      <w:lvlText w:val="%1.%2."/>
      <w:lvlJc w:val="left"/>
      <w:pPr>
        <w:ind w:left="1035" w:hanging="540"/>
        <w:tabs>
          <w:tab w:val="num" w:pos="0" w:leader="none"/>
        </w:tabs>
      </w:pPr>
    </w:lvl>
    <w:lvl w:ilvl="2">
      <w:start w:val="8"/>
      <w:numFmt w:val="decimal"/>
      <w:isLgl w:val="false"/>
      <w:suff w:val="tab"/>
      <w:lvlText w:val="%1.%2.%3."/>
      <w:lvlJc w:val="left"/>
      <w:pPr>
        <w:ind w:left="1710" w:hanging="72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205" w:hanging="720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060" w:hanging="1080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555" w:hanging="10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4410" w:hanging="144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905" w:hanging="1440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760" w:hanging="1800"/>
        <w:tabs>
          <w:tab w:val="num" w:pos="0" w:leader="none"/>
        </w:tabs>
      </w:pPr>
    </w:lvl>
  </w:abstractNum>
  <w:abstractNum w:abstractNumId="1">
    <w:multiLevelType w:val="hybridMultilevel"/>
    <w:lvl w:ilvl="0">
      <w:start w:val="1"/>
      <w:numFmt w:val="thaiNumbers"/>
      <w:isLgl w:val="false"/>
      <w:suff w:val="tab"/>
      <w:lvlText w:val="%1)"/>
      <w:lvlJc w:val="left"/>
      <w:pPr>
        <w:ind w:left="720" w:hanging="360"/>
        <w:tabs>
          <w:tab w:val="num" w:pos="0" w:leader="none"/>
        </w:tabs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0" w:leader="none"/>
        </w:tabs>
      </w:pPr>
    </w:lvl>
  </w:abstractNum>
  <w:abstractNum w:abstractNumId="2">
    <w:multiLevelType w:val="hybridMultilevel"/>
    <w:lvl w:ilvl="0">
      <w:start w:val="1"/>
      <w:numFmt w:val="thaiNumbers"/>
      <w:isLgl w:val="false"/>
      <w:suff w:val="tab"/>
      <w:lvlText w:val="%1)"/>
      <w:lvlJc w:val="left"/>
      <w:pPr>
        <w:ind w:left="927" w:hanging="360"/>
        <w:tabs>
          <w:tab w:val="num" w:pos="0" w:leader="none"/>
        </w:tabs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0" w:leader="none"/>
        </w:tabs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0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0" w:leader="none"/>
        </w:tabs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0" w:leader="none"/>
        </w:tabs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0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0" w:leader="none"/>
        </w:tabs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0" w:leader="none"/>
        </w:tabs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0" w:leader="none"/>
        </w:tabs>
      </w:pPr>
      <w:rPr>
        <w:rFonts w:cs="Times New Roman"/>
      </w:rPr>
    </w:lvl>
  </w:abstractNum>
  <w:abstractNum w:abstractNumId="3">
    <w:multiLevelType w:val="hybridMultilevel"/>
    <w:lvl w:ilvl="0">
      <w:start w:val="1"/>
      <w:numFmt w:val="thaiNumbers"/>
      <w:isLgl w:val="false"/>
      <w:suff w:val="tab"/>
      <w:lvlText w:val="%1)"/>
      <w:lvlJc w:val="left"/>
      <w:pPr>
        <w:ind w:left="720" w:hanging="360"/>
        <w:tabs>
          <w:tab w:val="num" w:pos="0" w:leader="none"/>
        </w:tabs>
      </w:pPr>
      <w:rPr>
        <w:rFonts w:cs="Times New Roman"/>
      </w:rPr>
    </w:lvl>
    <w:lvl w:ilvl="1">
      <w:start w:val="1"/>
      <w:numFmt w:val="thaiNumbers"/>
      <w:isLgl w:val="false"/>
      <w:suff w:val="tab"/>
      <w:lvlText w:val="%2)"/>
      <w:lvlJc w:val="left"/>
      <w:pPr>
        <w:ind w:left="1440" w:hanging="360"/>
        <w:tabs>
          <w:tab w:val="num" w:pos="0" w:leader="none"/>
        </w:tabs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0" w:leader="none"/>
        </w:tabs>
      </w:pPr>
    </w:lvl>
  </w:abstractNum>
  <w:abstractNum w:abstractNumId="4">
    <w:multiLevelType w:val="hybridMultilevel"/>
    <w:lvl w:ilvl="0">
      <w:start w:val="1"/>
      <w:numFmt w:val="thaiNumbers"/>
      <w:isLgl w:val="false"/>
      <w:suff w:val="tab"/>
      <w:lvlText w:val="%1)"/>
      <w:lvlJc w:val="left"/>
      <w:pPr>
        <w:ind w:left="720" w:hanging="360"/>
        <w:tabs>
          <w:tab w:val="num" w:pos="0" w:leader="none"/>
        </w:tabs>
      </w:pPr>
      <w:rPr>
        <w:rFonts w:cs="Times New Roman"/>
      </w:rPr>
    </w:lvl>
    <w:lvl w:ilvl="1">
      <w:start w:val="1"/>
      <w:numFmt w:val="decimal"/>
      <w:isLgl w:val="false"/>
      <w:suff w:val="tab"/>
      <w:lvlText w:val="%2."/>
      <w:lvlJc w:val="left"/>
      <w:pPr>
        <w:ind w:left="1080" w:hanging="360"/>
        <w:tabs>
          <w:tab w:val="num" w:pos="108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1440" w:hanging="360"/>
        <w:tabs>
          <w:tab w:val="num" w:pos="144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1800" w:hanging="360"/>
        <w:tabs>
          <w:tab w:val="num" w:pos="180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2160" w:hanging="360"/>
        <w:tabs>
          <w:tab w:val="num" w:pos="216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2520" w:hanging="360"/>
        <w:tabs>
          <w:tab w:val="num" w:pos="25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2880" w:hanging="360"/>
        <w:tabs>
          <w:tab w:val="num" w:pos="288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3240" w:hanging="360"/>
        <w:tabs>
          <w:tab w:val="num" w:pos="324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3600" w:hanging="360"/>
        <w:tabs>
          <w:tab w:val="num" w:pos="3600" w:leader="none"/>
        </w:tabs>
      </w:pPr>
    </w:lvl>
  </w:abstractNum>
  <w:abstractNum w:abstractNumId="5">
    <w:multiLevelType w:val="hybridMultilevel"/>
    <w:lvl w:ilvl="0">
      <w:start w:val="1"/>
      <w:numFmt w:val="thaiNumbers"/>
      <w:isLgl w:val="false"/>
      <w:suff w:val="tab"/>
      <w:lvlText w:val="%1)"/>
      <w:lvlJc w:val="left"/>
      <w:pPr>
        <w:ind w:left="720" w:hanging="360"/>
        <w:tabs>
          <w:tab w:val="num" w:pos="0" w:leader="none"/>
        </w:tabs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0" w:leader="none"/>
        </w:tabs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40" w:hanging="540"/>
        <w:tabs>
          <w:tab w:val="num" w:pos="0" w:leader="none"/>
        </w:tabs>
      </w:pPr>
    </w:lvl>
    <w:lvl w:ilvl="1">
      <w:start w:val="6"/>
      <w:numFmt w:val="decimal"/>
      <w:isLgl w:val="false"/>
      <w:suff w:val="tab"/>
      <w:lvlText w:val="%1.%2."/>
      <w:lvlJc w:val="left"/>
      <w:pPr>
        <w:ind w:left="1035" w:hanging="540"/>
        <w:tabs>
          <w:tab w:val="num" w:pos="0" w:leader="none"/>
        </w:tabs>
      </w:pPr>
    </w:lvl>
    <w:lvl w:ilvl="2">
      <w:start w:val="4"/>
      <w:numFmt w:val="decimal"/>
      <w:isLgl w:val="false"/>
      <w:suff w:val="tab"/>
      <w:lvlText w:val="%1.%2.%3."/>
      <w:lvlJc w:val="left"/>
      <w:pPr>
        <w:ind w:left="1710" w:hanging="72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205" w:hanging="720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060" w:hanging="1080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555" w:hanging="10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4410" w:hanging="144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905" w:hanging="1440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760" w:hanging="1800"/>
        <w:tabs>
          <w:tab w:val="num" w:pos="0" w:leader="none"/>
        </w:tabs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9008" w:hanging="360"/>
        <w:tabs>
          <w:tab w:val="num" w:pos="8288" w:leader="none"/>
        </w:tabs>
      </w:pPr>
      <w:rPr>
        <w:b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46" w:hanging="720"/>
        <w:tabs>
          <w:tab w:val="num" w:pos="0" w:leader="none"/>
        </w:tabs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720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440" w:hanging="1080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0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44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440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1800"/>
        <w:tabs>
          <w:tab w:val="num" w:pos="0" w:leader="none"/>
        </w:tabs>
      </w:pPr>
    </w:lvl>
  </w:abstractNum>
  <w:abstractNum w:abstractNumId="8">
    <w:multiLevelType w:val="hybridMultilevel"/>
    <w:lvl w:ilvl="0">
      <w:start w:val="1"/>
      <w:numFmt w:val="decimal"/>
      <w:pStyle w:val="1277"/>
      <w:isLgl w:val="false"/>
      <w:suff w:val="tab"/>
      <w:lvlText w:val="%1."/>
      <w:lvlJc w:val="left"/>
      <w:pPr>
        <w:ind w:left="1134" w:hanging="1134"/>
        <w:tabs>
          <w:tab w:val="num" w:pos="1134" w:leader="none"/>
        </w:tabs>
      </w:pPr>
    </w:lvl>
    <w:lvl w:ilvl="1">
      <w:start w:val="1"/>
      <w:numFmt w:val="decimal"/>
      <w:pStyle w:val="1278"/>
      <w:isLgl w:val="false"/>
      <w:suff w:val="tab"/>
      <w:lvlText w:val="%1.%2"/>
      <w:lvlJc w:val="left"/>
      <w:pPr>
        <w:ind w:left="1134" w:hanging="1134"/>
        <w:tabs>
          <w:tab w:val="num" w:pos="1134" w:leader="none"/>
        </w:tabs>
      </w:pPr>
    </w:lvl>
    <w:lvl w:ilvl="2">
      <w:start w:val="1"/>
      <w:numFmt w:val="decimal"/>
      <w:pStyle w:val="1314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b w:val="0"/>
        <w:i w:val="0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134" w:hanging="1134"/>
        <w:tabs>
          <w:tab w:val="num" w:pos="1134" w:leader="none"/>
        </w:tabs>
      </w:pPr>
      <w:rPr>
        <w:b w:val="0"/>
        <w:i w:val="0"/>
      </w:rPr>
    </w:lvl>
    <w:lvl w:ilvl="4">
      <w:start w:val="1"/>
      <w:numFmt w:val="lowerLetter"/>
      <w:isLgl w:val="false"/>
      <w:suff w:val="tab"/>
      <w:lvlText w:val="%5)"/>
      <w:lvlJc w:val="left"/>
      <w:pPr>
        <w:ind w:left="1701" w:hanging="567"/>
        <w:tabs>
          <w:tab w:val="num" w:pos="1701" w:leader="none"/>
        </w:tabs>
      </w:pPr>
      <w:rPr>
        <w:b w:val="0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96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468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540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6120" w:leader="none"/>
        </w:tabs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-"/>
      <w:lvlJc w:val="left"/>
      <w:pPr>
        <w:ind w:left="720" w:hanging="360"/>
        <w:tabs>
          <w:tab w:val="num" w:pos="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0" w:leader="none"/>
        </w:tabs>
      </w:pPr>
    </w:lvl>
  </w:abstractNum>
  <w:num w:numId="1">
    <w:abstractNumId w:val="8"/>
  </w:num>
  <w:num w:numId="2">
    <w:abstractNumId w:val="9"/>
  </w:num>
  <w:num w:numId="3">
    <w:abstractNumId w:val="4"/>
  </w:num>
  <w:num w:numId="4">
    <w:abstractNumId w:val="6"/>
  </w:num>
  <w:num w:numId="5">
    <w:abstractNumId w:val="0"/>
  </w:num>
  <w:num w:numId="6">
    <w:abstractNumId w:val="7"/>
    <w:lvlOverride w:ilvl="0">
      <w:startOverride w:val="1"/>
    </w:lvlOverride>
  </w:num>
  <w:num w:numId="7">
    <w:abstractNumId w:val="7"/>
  </w:num>
  <w:num w:numId="8">
    <w:abstractNumId w:val="3"/>
    <w:lvlOverride w:ilvl="0">
      <w:startOverride w:val="1"/>
    </w:lvlOverride>
    <w:lvlOverride w:ilvl="1">
      <w:startOverride w:val="1"/>
    </w:lvlOverride>
  </w:num>
  <w:num w:numId="9">
    <w:abstractNumId w:val="3"/>
  </w:num>
  <w:num w:numId="10">
    <w:abstractNumId w:val="2"/>
    <w:lvlOverride w:ilvl="0">
      <w:startOverride w:val="1"/>
    </w:lvlOverride>
  </w:num>
  <w:num w:numId="11">
    <w:abstractNumId w:val="2"/>
  </w:num>
  <w:num w:numId="12">
    <w:abstractNumId w:val="1"/>
    <w:lvlOverride w:ilvl="0">
      <w:startOverride w:val="1"/>
    </w:lvlOverride>
  </w:num>
  <w:num w:numId="13">
    <w:abstractNumId w:val="1"/>
  </w:num>
  <w:num w:numId="14">
    <w:abstractNumId w:val="5"/>
    <w:lvlOverride w:ilvl="0">
      <w:startOverride w:val="1"/>
    </w:lvlOverride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098">
    <w:name w:val="Heading 1"/>
    <w:basedOn w:val="1276"/>
    <w:next w:val="1276"/>
    <w:link w:val="1099"/>
    <w:uiPriority w:val="9"/>
    <w:qFormat/>
    <w:pPr>
      <w:keepLines/>
      <w:keepNext/>
      <w:spacing w:before="480" w:after="200"/>
      <w:outlineLvl w:val="0"/>
    </w:pPr>
    <w:rPr>
      <w:rFonts w:ascii="Liberation Sans" w:hAnsi="Liberation Sans" w:eastAsia="Liberation Sans" w:cs="Liberation Sans"/>
      <w:sz w:val="40"/>
      <w:szCs w:val="40"/>
    </w:rPr>
  </w:style>
  <w:style w:type="character" w:styleId="1099">
    <w:name w:val="Heading 1 Char"/>
    <w:link w:val="1098"/>
    <w:uiPriority w:val="9"/>
    <w:rPr>
      <w:rFonts w:ascii="Liberation Sans" w:hAnsi="Liberation Sans" w:eastAsia="Liberation Sans" w:cs="Liberation Sans"/>
      <w:sz w:val="40"/>
      <w:szCs w:val="40"/>
    </w:rPr>
  </w:style>
  <w:style w:type="paragraph" w:styleId="1100">
    <w:name w:val="Heading 2"/>
    <w:basedOn w:val="1276"/>
    <w:next w:val="1276"/>
    <w:link w:val="1101"/>
    <w:uiPriority w:val="9"/>
    <w:unhideWhenUsed/>
    <w:qFormat/>
    <w:pPr>
      <w:keepLines/>
      <w:keepNext/>
      <w:spacing w:before="360" w:after="200"/>
      <w:outlineLvl w:val="1"/>
    </w:pPr>
    <w:rPr>
      <w:rFonts w:ascii="Liberation Sans" w:hAnsi="Liberation Sans" w:eastAsia="Liberation Sans" w:cs="Liberation Sans"/>
      <w:sz w:val="34"/>
    </w:rPr>
  </w:style>
  <w:style w:type="character" w:styleId="1101">
    <w:name w:val="Heading 2 Char"/>
    <w:link w:val="1100"/>
    <w:uiPriority w:val="9"/>
    <w:rPr>
      <w:rFonts w:ascii="Liberation Sans" w:hAnsi="Liberation Sans" w:eastAsia="Liberation Sans" w:cs="Liberation Sans"/>
      <w:sz w:val="34"/>
    </w:rPr>
  </w:style>
  <w:style w:type="paragraph" w:styleId="1102">
    <w:name w:val="Heading 3"/>
    <w:basedOn w:val="1276"/>
    <w:next w:val="1276"/>
    <w:link w:val="1103"/>
    <w:uiPriority w:val="9"/>
    <w:unhideWhenUsed/>
    <w:qFormat/>
    <w:pPr>
      <w:keepLines/>
      <w:keepNext/>
      <w:spacing w:before="320" w:after="200"/>
      <w:outlineLvl w:val="2"/>
    </w:pPr>
    <w:rPr>
      <w:rFonts w:ascii="Liberation Sans" w:hAnsi="Liberation Sans" w:eastAsia="Liberation Sans" w:cs="Liberation Sans"/>
      <w:sz w:val="30"/>
      <w:szCs w:val="30"/>
    </w:rPr>
  </w:style>
  <w:style w:type="character" w:styleId="1103">
    <w:name w:val="Heading 3 Char"/>
    <w:link w:val="1102"/>
    <w:uiPriority w:val="9"/>
    <w:rPr>
      <w:rFonts w:ascii="Liberation Sans" w:hAnsi="Liberation Sans" w:eastAsia="Liberation Sans" w:cs="Liberation Sans"/>
      <w:sz w:val="30"/>
      <w:szCs w:val="30"/>
    </w:rPr>
  </w:style>
  <w:style w:type="paragraph" w:styleId="1104">
    <w:name w:val="Heading 4"/>
    <w:basedOn w:val="1276"/>
    <w:next w:val="1276"/>
    <w:link w:val="1105"/>
    <w:uiPriority w:val="9"/>
    <w:unhideWhenUsed/>
    <w:qFormat/>
    <w:pPr>
      <w:keepLines/>
      <w:keepNext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1105">
    <w:name w:val="Heading 4 Char"/>
    <w:link w:val="1104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1106">
    <w:name w:val="Heading 5"/>
    <w:basedOn w:val="1276"/>
    <w:next w:val="1276"/>
    <w:link w:val="1107"/>
    <w:uiPriority w:val="9"/>
    <w:unhideWhenUsed/>
    <w:qFormat/>
    <w:pPr>
      <w:keepLines/>
      <w:keepNext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1107">
    <w:name w:val="Heading 5 Char"/>
    <w:link w:val="1106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1108">
    <w:name w:val="Heading 6"/>
    <w:basedOn w:val="1276"/>
    <w:next w:val="1276"/>
    <w:link w:val="1109"/>
    <w:uiPriority w:val="9"/>
    <w:unhideWhenUsed/>
    <w:qFormat/>
    <w:pPr>
      <w:keepLines/>
      <w:keepNext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1109">
    <w:name w:val="Heading 6 Char"/>
    <w:link w:val="1108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1110">
    <w:name w:val="Heading 7"/>
    <w:basedOn w:val="1276"/>
    <w:next w:val="1276"/>
    <w:link w:val="1111"/>
    <w:uiPriority w:val="9"/>
    <w:unhideWhenUsed/>
    <w:qFormat/>
    <w:pPr>
      <w:keepLines/>
      <w:keepNext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1111">
    <w:name w:val="Heading 7 Char"/>
    <w:link w:val="1110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paragraph" w:styleId="1112">
    <w:name w:val="Heading 8"/>
    <w:basedOn w:val="1276"/>
    <w:next w:val="1276"/>
    <w:link w:val="1113"/>
    <w:uiPriority w:val="9"/>
    <w:unhideWhenUsed/>
    <w:qFormat/>
    <w:pPr>
      <w:keepLines/>
      <w:keepNext/>
      <w:spacing w:before="320" w:after="200"/>
      <w:outlineLvl w:val="7"/>
    </w:pPr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1113">
    <w:name w:val="Heading 8 Char"/>
    <w:link w:val="1112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paragraph" w:styleId="1114">
    <w:name w:val="Heading 9"/>
    <w:basedOn w:val="1276"/>
    <w:next w:val="1276"/>
    <w:link w:val="1115"/>
    <w:uiPriority w:val="9"/>
    <w:unhideWhenUsed/>
    <w:qFormat/>
    <w:pPr>
      <w:keepLines/>
      <w:keepNext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1115">
    <w:name w:val="Heading 9 Char"/>
    <w:link w:val="1114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paragraph" w:styleId="1116">
    <w:name w:val="List Paragraph"/>
    <w:basedOn w:val="1276"/>
    <w:uiPriority w:val="34"/>
    <w:qFormat/>
    <w:pPr>
      <w:contextualSpacing/>
      <w:ind w:left="720"/>
    </w:pPr>
  </w:style>
  <w:style w:type="paragraph" w:styleId="1117">
    <w:name w:val="No Spacing"/>
    <w:uiPriority w:val="1"/>
    <w:qFormat/>
    <w:pPr>
      <w:spacing w:before="0" w:after="0" w:line="240" w:lineRule="auto"/>
    </w:pPr>
  </w:style>
  <w:style w:type="paragraph" w:styleId="1118">
    <w:name w:val="Title"/>
    <w:basedOn w:val="1276"/>
    <w:next w:val="1276"/>
    <w:link w:val="1119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1119">
    <w:name w:val="Title Char"/>
    <w:link w:val="1118"/>
    <w:uiPriority w:val="10"/>
    <w:rPr>
      <w:sz w:val="48"/>
      <w:szCs w:val="48"/>
    </w:rPr>
  </w:style>
  <w:style w:type="paragraph" w:styleId="1120">
    <w:name w:val="Subtitle"/>
    <w:basedOn w:val="1276"/>
    <w:next w:val="1276"/>
    <w:link w:val="1121"/>
    <w:uiPriority w:val="11"/>
    <w:qFormat/>
    <w:pPr>
      <w:spacing w:before="200" w:after="200"/>
    </w:pPr>
    <w:rPr>
      <w:sz w:val="24"/>
      <w:szCs w:val="24"/>
    </w:rPr>
  </w:style>
  <w:style w:type="character" w:styleId="1121">
    <w:name w:val="Subtitle Char"/>
    <w:link w:val="1120"/>
    <w:uiPriority w:val="11"/>
    <w:rPr>
      <w:sz w:val="24"/>
      <w:szCs w:val="24"/>
    </w:rPr>
  </w:style>
  <w:style w:type="paragraph" w:styleId="1122">
    <w:name w:val="Quote"/>
    <w:basedOn w:val="1276"/>
    <w:next w:val="1276"/>
    <w:link w:val="1123"/>
    <w:uiPriority w:val="29"/>
    <w:qFormat/>
    <w:pPr>
      <w:ind w:left="720" w:right="720"/>
    </w:pPr>
    <w:rPr>
      <w:i/>
    </w:rPr>
  </w:style>
  <w:style w:type="character" w:styleId="1123">
    <w:name w:val="Quote Char"/>
    <w:link w:val="1122"/>
    <w:uiPriority w:val="29"/>
    <w:rPr>
      <w:i/>
    </w:rPr>
  </w:style>
  <w:style w:type="paragraph" w:styleId="1124">
    <w:name w:val="Intense Quote"/>
    <w:basedOn w:val="1276"/>
    <w:next w:val="1276"/>
    <w:link w:val="1125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1125">
    <w:name w:val="Intense Quote Char"/>
    <w:link w:val="1124"/>
    <w:uiPriority w:val="30"/>
    <w:rPr>
      <w:i/>
    </w:rPr>
  </w:style>
  <w:style w:type="paragraph" w:styleId="1126">
    <w:name w:val="Header"/>
    <w:basedOn w:val="1276"/>
    <w:link w:val="112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1127">
    <w:name w:val="Header Char"/>
    <w:link w:val="1126"/>
    <w:uiPriority w:val="99"/>
  </w:style>
  <w:style w:type="paragraph" w:styleId="1128">
    <w:name w:val="Footer"/>
    <w:basedOn w:val="1276"/>
    <w:link w:val="1129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1129">
    <w:name w:val="Footer Char"/>
    <w:link w:val="1128"/>
    <w:uiPriority w:val="99"/>
  </w:style>
  <w:style w:type="paragraph" w:styleId="1130">
    <w:name w:val="Caption"/>
    <w:basedOn w:val="1276"/>
    <w:next w:val="1276"/>
    <w:link w:val="1131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1131">
    <w:name w:val="Caption Char"/>
    <w:link w:val="1130"/>
    <w:uiPriority w:val="35"/>
    <w:rPr>
      <w:b/>
      <w:bCs/>
      <w:color w:val="4f81bd" w:themeColor="accent1"/>
      <w:sz w:val="18"/>
      <w:szCs w:val="18"/>
    </w:rPr>
  </w:style>
  <w:style w:type="table" w:styleId="1132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133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134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1135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1136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1137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38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1139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40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41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42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43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44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45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46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47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48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49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50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51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52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53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54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55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56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57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58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59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60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1161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1162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1163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1164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1165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1166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1167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1168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1169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1170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1171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1172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1173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1174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1175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1176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1177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1178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1179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1180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1181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82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3e70a3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83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84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5c702f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85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86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7" w:themeColor="accent5" w:themeShade="95"/>
        <w:sz w:val="22"/>
      </w:rPr>
    </w:tblStylePr>
    <w:tblStylePr w:type="firstCol">
      <w:rPr>
        <w:rFonts w:ascii="Liberation Sans" w:hAnsi="Liberation Sans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87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05307" w:themeColor="accent6" w:themeShade="95"/>
        <w:sz w:val="22"/>
      </w:rPr>
    </w:tblStylePr>
    <w:tblStylePr w:type="firstCol">
      <w:rPr>
        <w:rFonts w:ascii="Liberation Sans" w:hAnsi="Liberation Sans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88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89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90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91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92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93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94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95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96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97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98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99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200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201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202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3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4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5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6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7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8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9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0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1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2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3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4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5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6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217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218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219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220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221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222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223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224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225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226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227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228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229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230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1231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2a4b71" w:themeColor="accent1" w:themeShade="95"/>
        <w:sz w:val="22"/>
      </w:rPr>
    </w:tblStylePr>
    <w:tblStylePr w:type="firstCol">
      <w:rPr>
        <w:rFonts w:ascii="Liberation Sans" w:hAnsi="Liberation Sans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2a4b71" w:themeColor="accent1" w:themeShade="95"/>
        <w:sz w:val="22"/>
      </w:rPr>
    </w:tblStylePr>
  </w:style>
  <w:style w:type="table" w:styleId="1232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9c3a37" w:themeColor="accent2" w:themeTint="97" w:themeShade="95"/>
        <w:sz w:val="22"/>
      </w:rPr>
    </w:tblStylePr>
  </w:style>
  <w:style w:type="table" w:styleId="1233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7c983f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7c983f" w:themeColor="accent3" w:themeTint="98" w:themeShade="95"/>
        <w:sz w:val="22"/>
      </w:rPr>
    </w:tblStylePr>
  </w:style>
  <w:style w:type="table" w:styleId="1234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664f82" w:themeColor="accent4" w:themeTint="9A" w:themeShade="95"/>
        <w:sz w:val="22"/>
      </w:rPr>
    </w:tblStylePr>
  </w:style>
  <w:style w:type="table" w:styleId="1235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338aa0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338aa0" w:themeColor="accent5" w:themeTint="9A" w:themeShade="95"/>
        <w:sz w:val="22"/>
      </w:rPr>
    </w:tblStylePr>
  </w:style>
  <w:style w:type="table" w:styleId="1236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d9680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d9680c" w:themeColor="accent6" w:themeTint="98" w:themeShade="95"/>
        <w:sz w:val="22"/>
      </w:rPr>
    </w:tblStylePr>
  </w:style>
  <w:style w:type="table" w:styleId="1237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238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239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240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241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242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243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244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245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246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247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248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249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250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251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252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253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254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255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256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257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258">
    <w:name w:val="Hyperlink"/>
    <w:uiPriority w:val="99"/>
    <w:unhideWhenUsed/>
    <w:rPr>
      <w:color w:val="0000ff" w:themeColor="hyperlink"/>
      <w:u w:val="single"/>
    </w:rPr>
  </w:style>
  <w:style w:type="paragraph" w:styleId="1259">
    <w:name w:val="footnote text"/>
    <w:basedOn w:val="1276"/>
    <w:link w:val="1260"/>
    <w:uiPriority w:val="99"/>
    <w:semiHidden/>
    <w:unhideWhenUsed/>
    <w:pPr>
      <w:spacing w:after="40" w:line="240" w:lineRule="auto"/>
    </w:pPr>
    <w:rPr>
      <w:sz w:val="18"/>
    </w:rPr>
  </w:style>
  <w:style w:type="character" w:styleId="1260">
    <w:name w:val="Footnote Text Char"/>
    <w:link w:val="1259"/>
    <w:uiPriority w:val="99"/>
    <w:rPr>
      <w:sz w:val="18"/>
    </w:rPr>
  </w:style>
  <w:style w:type="character" w:styleId="1261">
    <w:name w:val="footnote reference"/>
    <w:uiPriority w:val="99"/>
    <w:unhideWhenUsed/>
    <w:rPr>
      <w:vertAlign w:val="superscript"/>
    </w:rPr>
  </w:style>
  <w:style w:type="paragraph" w:styleId="1262">
    <w:name w:val="endnote text"/>
    <w:basedOn w:val="1276"/>
    <w:link w:val="1263"/>
    <w:uiPriority w:val="99"/>
    <w:semiHidden/>
    <w:unhideWhenUsed/>
    <w:pPr>
      <w:spacing w:after="0" w:line="240" w:lineRule="auto"/>
    </w:pPr>
    <w:rPr>
      <w:sz w:val="20"/>
    </w:rPr>
  </w:style>
  <w:style w:type="character" w:styleId="1263">
    <w:name w:val="Endnote Text Char"/>
    <w:link w:val="1262"/>
    <w:uiPriority w:val="99"/>
    <w:rPr>
      <w:sz w:val="20"/>
    </w:rPr>
  </w:style>
  <w:style w:type="character" w:styleId="1264">
    <w:name w:val="endnote reference"/>
    <w:uiPriority w:val="99"/>
    <w:semiHidden/>
    <w:unhideWhenUsed/>
    <w:rPr>
      <w:vertAlign w:val="superscript"/>
    </w:rPr>
  </w:style>
  <w:style w:type="paragraph" w:styleId="1265">
    <w:name w:val="toc 1"/>
    <w:basedOn w:val="1276"/>
    <w:next w:val="1276"/>
    <w:uiPriority w:val="39"/>
    <w:unhideWhenUsed/>
    <w:pPr>
      <w:ind w:left="0" w:right="0" w:firstLine="0"/>
      <w:spacing w:after="57"/>
    </w:pPr>
  </w:style>
  <w:style w:type="paragraph" w:styleId="1266">
    <w:name w:val="toc 2"/>
    <w:basedOn w:val="1276"/>
    <w:next w:val="1276"/>
    <w:uiPriority w:val="39"/>
    <w:unhideWhenUsed/>
    <w:pPr>
      <w:ind w:left="283" w:right="0" w:firstLine="0"/>
      <w:spacing w:after="57"/>
    </w:pPr>
  </w:style>
  <w:style w:type="paragraph" w:styleId="1267">
    <w:name w:val="toc 3"/>
    <w:basedOn w:val="1276"/>
    <w:next w:val="1276"/>
    <w:uiPriority w:val="39"/>
    <w:unhideWhenUsed/>
    <w:pPr>
      <w:ind w:left="567" w:right="0" w:firstLine="0"/>
      <w:spacing w:after="57"/>
    </w:pPr>
  </w:style>
  <w:style w:type="paragraph" w:styleId="1268">
    <w:name w:val="toc 4"/>
    <w:basedOn w:val="1276"/>
    <w:next w:val="1276"/>
    <w:uiPriority w:val="39"/>
    <w:unhideWhenUsed/>
    <w:pPr>
      <w:ind w:left="850" w:right="0" w:firstLine="0"/>
      <w:spacing w:after="57"/>
    </w:pPr>
  </w:style>
  <w:style w:type="paragraph" w:styleId="1269">
    <w:name w:val="toc 5"/>
    <w:basedOn w:val="1276"/>
    <w:next w:val="1276"/>
    <w:uiPriority w:val="39"/>
    <w:unhideWhenUsed/>
    <w:pPr>
      <w:ind w:left="1134" w:right="0" w:firstLine="0"/>
      <w:spacing w:after="57"/>
    </w:pPr>
  </w:style>
  <w:style w:type="paragraph" w:styleId="1270">
    <w:name w:val="toc 6"/>
    <w:basedOn w:val="1276"/>
    <w:next w:val="1276"/>
    <w:uiPriority w:val="39"/>
    <w:unhideWhenUsed/>
    <w:pPr>
      <w:ind w:left="1417" w:right="0" w:firstLine="0"/>
      <w:spacing w:after="57"/>
    </w:pPr>
  </w:style>
  <w:style w:type="paragraph" w:styleId="1271">
    <w:name w:val="toc 7"/>
    <w:basedOn w:val="1276"/>
    <w:next w:val="1276"/>
    <w:uiPriority w:val="39"/>
    <w:unhideWhenUsed/>
    <w:pPr>
      <w:ind w:left="1701" w:right="0" w:firstLine="0"/>
      <w:spacing w:after="57"/>
    </w:pPr>
  </w:style>
  <w:style w:type="paragraph" w:styleId="1272">
    <w:name w:val="toc 8"/>
    <w:basedOn w:val="1276"/>
    <w:next w:val="1276"/>
    <w:uiPriority w:val="39"/>
    <w:unhideWhenUsed/>
    <w:pPr>
      <w:ind w:left="1984" w:right="0" w:firstLine="0"/>
      <w:spacing w:after="57"/>
    </w:pPr>
  </w:style>
  <w:style w:type="paragraph" w:styleId="1273">
    <w:name w:val="toc 9"/>
    <w:basedOn w:val="1276"/>
    <w:next w:val="1276"/>
    <w:uiPriority w:val="39"/>
    <w:unhideWhenUsed/>
    <w:pPr>
      <w:ind w:left="2268" w:right="0" w:firstLine="0"/>
      <w:spacing w:after="57"/>
    </w:pPr>
  </w:style>
  <w:style w:type="paragraph" w:styleId="1274">
    <w:name w:val="TOC Heading"/>
    <w:uiPriority w:val="39"/>
    <w:unhideWhenUsed/>
  </w:style>
  <w:style w:type="paragraph" w:styleId="1275">
    <w:name w:val="table of figures"/>
    <w:basedOn w:val="1276"/>
    <w:next w:val="1276"/>
    <w:uiPriority w:val="99"/>
    <w:unhideWhenUsed/>
    <w:pPr>
      <w:spacing w:after="0" w:afterAutospacing="0"/>
    </w:pPr>
  </w:style>
  <w:style w:type="paragraph" w:styleId="1276" w:default="1">
    <w:name w:val="Normal"/>
    <w:next w:val="1276"/>
    <w:link w:val="1276"/>
    <w:qFormat/>
    <w:rPr>
      <w:sz w:val="24"/>
      <w:szCs w:val="24"/>
      <w:lang w:val="ru-RU" w:eastAsia="ru-RU" w:bidi="ar-SA"/>
    </w:rPr>
  </w:style>
  <w:style w:type="paragraph" w:styleId="1277">
    <w:name w:val="Заголовок 1"/>
    <w:basedOn w:val="1276"/>
    <w:next w:val="1276"/>
    <w:link w:val="1290"/>
    <w:qFormat/>
    <w:pPr>
      <w:numPr>
        <w:ilvl w:val="0"/>
        <w:numId w:val="1"/>
      </w:numPr>
      <w:keepLines/>
      <w:keepNext/>
      <w:pageBreakBefore/>
      <w:spacing w:before="480" w:after="240"/>
      <w:outlineLvl w:val="0"/>
    </w:pPr>
    <w:rPr>
      <w:rFonts w:ascii="Arial" w:hAnsi="Arial"/>
      <w:b/>
      <w:sz w:val="40"/>
      <w:szCs w:val="20"/>
    </w:rPr>
  </w:style>
  <w:style w:type="paragraph" w:styleId="1278">
    <w:name w:val="Заголовок 2"/>
    <w:basedOn w:val="1276"/>
    <w:next w:val="1276"/>
    <w:link w:val="1291"/>
    <w:uiPriority w:val="9"/>
    <w:qFormat/>
    <w:pPr>
      <w:numPr>
        <w:ilvl w:val="1"/>
        <w:numId w:val="1"/>
      </w:numPr>
      <w:keepNext/>
      <w:spacing w:before="360" w:after="120"/>
      <w:outlineLvl w:val="1"/>
    </w:pPr>
    <w:rPr>
      <w:b/>
      <w:sz w:val="32"/>
      <w:szCs w:val="20"/>
    </w:rPr>
  </w:style>
  <w:style w:type="paragraph" w:styleId="1279">
    <w:name w:val="Заголовок 3"/>
    <w:basedOn w:val="1276"/>
    <w:next w:val="1276"/>
    <w:link w:val="1276"/>
    <w:qFormat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  <w:lang w:val="ru-RU"/>
    </w:rPr>
  </w:style>
  <w:style w:type="character" w:styleId="1280">
    <w:name w:val="Основной шрифт абзаца"/>
    <w:next w:val="1280"/>
    <w:link w:val="1276"/>
    <w:uiPriority w:val="1"/>
    <w:unhideWhenUsed/>
  </w:style>
  <w:style w:type="table" w:styleId="1281">
    <w:name w:val="Обычная таблица"/>
    <w:next w:val="1281"/>
    <w:link w:val="1276"/>
    <w:uiPriority w:val="99"/>
    <w:semiHidden/>
    <w:unhideWhenUsed/>
    <w:tblPr/>
  </w:style>
  <w:style w:type="numbering" w:styleId="1282">
    <w:name w:val="Нет списка"/>
    <w:next w:val="1282"/>
    <w:link w:val="1276"/>
    <w:uiPriority w:val="99"/>
    <w:semiHidden/>
    <w:unhideWhenUsed/>
  </w:style>
  <w:style w:type="character" w:styleId="1283">
    <w:name w:val="Верхний колонтитул Знак"/>
    <w:next w:val="1283"/>
    <w:link w:val="1307"/>
    <w:uiPriority w:val="99"/>
    <w:qFormat/>
    <w:rPr>
      <w:sz w:val="24"/>
      <w:szCs w:val="24"/>
    </w:rPr>
  </w:style>
  <w:style w:type="character" w:styleId="1284">
    <w:name w:val="Нижний колонтитул Знак"/>
    <w:next w:val="1284"/>
    <w:link w:val="1308"/>
    <w:uiPriority w:val="99"/>
    <w:qFormat/>
    <w:rPr>
      <w:sz w:val="24"/>
      <w:szCs w:val="24"/>
    </w:rPr>
  </w:style>
  <w:style w:type="character" w:styleId="1285">
    <w:name w:val="Гиперссылка"/>
    <w:next w:val="1285"/>
    <w:link w:val="1276"/>
    <w:rPr>
      <w:color w:val="0000ff"/>
      <w:u w:val="single"/>
    </w:rPr>
  </w:style>
  <w:style w:type="character" w:styleId="1286">
    <w:name w:val="Название Знак1"/>
    <w:next w:val="1286"/>
    <w:link w:val="1312"/>
    <w:qFormat/>
    <w:rPr>
      <w:rFonts w:ascii="Calibri Light" w:hAnsi="Calibri Light" w:eastAsia="Times New Roman" w:cs="Times New Roman"/>
      <w:b/>
      <w:bCs/>
      <w:sz w:val="32"/>
      <w:szCs w:val="32"/>
    </w:rPr>
  </w:style>
  <w:style w:type="character" w:styleId="1287">
    <w:name w:val="Название Знак"/>
    <w:next w:val="1287"/>
    <w:link w:val="1276"/>
    <w:qFormat/>
    <w:rPr>
      <w:rFonts w:ascii="Calibri Light" w:hAnsi="Calibri Light" w:eastAsia="Calibri Light" w:cs="Calibri Light"/>
      <w:color w:val="323e4f"/>
      <w:spacing w:val="5"/>
      <w:sz w:val="52"/>
      <w:szCs w:val="52"/>
    </w:rPr>
  </w:style>
  <w:style w:type="character" w:styleId="1288">
    <w:name w:val="Заголовок Знак"/>
    <w:next w:val="1288"/>
    <w:link w:val="1276"/>
    <w:qFormat/>
    <w:rPr>
      <w:rFonts w:ascii="Calibri Light" w:hAnsi="Calibri Light" w:eastAsia="Times New Roman" w:cs="Times New Roman"/>
      <w:b/>
      <w:bCs/>
      <w:sz w:val="32"/>
      <w:szCs w:val="32"/>
    </w:rPr>
  </w:style>
  <w:style w:type="character" w:styleId="1289">
    <w:name w:val="Текст выноски Знак"/>
    <w:next w:val="1289"/>
    <w:link w:val="1313"/>
    <w:uiPriority w:val="99"/>
    <w:semiHidden/>
    <w:qFormat/>
    <w:rPr>
      <w:rFonts w:ascii="Tahoma" w:hAnsi="Tahoma" w:cs="Tahoma"/>
      <w:sz w:val="16"/>
      <w:szCs w:val="16"/>
    </w:rPr>
  </w:style>
  <w:style w:type="character" w:styleId="1290">
    <w:name w:val="Заголовок 1 Знак"/>
    <w:next w:val="1290"/>
    <w:link w:val="1277"/>
    <w:qFormat/>
    <w:rPr>
      <w:rFonts w:ascii="Arial" w:hAnsi="Arial"/>
      <w:b/>
      <w:sz w:val="40"/>
    </w:rPr>
  </w:style>
  <w:style w:type="character" w:styleId="1291">
    <w:name w:val="Заголовок 2 Знак"/>
    <w:next w:val="1291"/>
    <w:link w:val="1278"/>
    <w:uiPriority w:val="9"/>
    <w:qFormat/>
    <w:rPr>
      <w:b/>
      <w:sz w:val="32"/>
    </w:rPr>
  </w:style>
  <w:style w:type="character" w:styleId="1292">
    <w:name w:val="Текст сноски Знак"/>
    <w:basedOn w:val="1280"/>
    <w:next w:val="1292"/>
    <w:link w:val="1318"/>
    <w:semiHidden/>
    <w:qFormat/>
  </w:style>
  <w:style w:type="character" w:styleId="1293">
    <w:name w:val="Символ сноски"/>
    <w:next w:val="1293"/>
    <w:link w:val="1276"/>
    <w:uiPriority w:val="99"/>
    <w:semiHidden/>
    <w:unhideWhenUsed/>
    <w:qFormat/>
    <w:rPr>
      <w:rFonts w:ascii="Times New Roman" w:hAnsi="Times New Roman" w:cs="Times New Roman"/>
      <w:vertAlign w:val="superscript"/>
    </w:rPr>
  </w:style>
  <w:style w:type="character" w:styleId="1294">
    <w:name w:val="Знак сноски"/>
    <w:next w:val="1294"/>
    <w:link w:val="1276"/>
    <w:rPr>
      <w:rFonts w:ascii="Times New Roman" w:hAnsi="Times New Roman" w:cs="Times New Roman"/>
      <w:vertAlign w:val="superscript"/>
    </w:rPr>
  </w:style>
  <w:style w:type="character" w:styleId="1295">
    <w:name w:val="Символ концевой сноски"/>
    <w:next w:val="1295"/>
    <w:link w:val="1276"/>
    <w:qFormat/>
    <w:rPr>
      <w:vertAlign w:val="superscript"/>
    </w:rPr>
  </w:style>
  <w:style w:type="character" w:styleId="1296">
    <w:name w:val="Знак концевой сноски"/>
    <w:next w:val="1296"/>
    <w:link w:val="1276"/>
    <w:rPr>
      <w:vertAlign w:val="superscript"/>
    </w:rPr>
  </w:style>
  <w:style w:type="character" w:styleId="1297">
    <w:name w:val="WW8Num21z0"/>
    <w:next w:val="1297"/>
    <w:link w:val="1276"/>
    <w:qFormat/>
    <w:rPr>
      <w:rFonts w:cs="Times New Roman"/>
    </w:rPr>
  </w:style>
  <w:style w:type="character" w:styleId="1298">
    <w:name w:val="WW8Num3z0"/>
    <w:next w:val="1298"/>
    <w:link w:val="1276"/>
    <w:qFormat/>
  </w:style>
  <w:style w:type="character" w:styleId="1299">
    <w:name w:val="WW8Num37z0"/>
    <w:next w:val="1299"/>
    <w:link w:val="1276"/>
    <w:qFormat/>
  </w:style>
  <w:style w:type="character" w:styleId="1300">
    <w:name w:val="WW8Num38z0"/>
    <w:next w:val="1300"/>
    <w:link w:val="1276"/>
    <w:qFormat/>
    <w:rPr>
      <w:rFonts w:cs="Times New Roman"/>
    </w:rPr>
  </w:style>
  <w:style w:type="paragraph" w:styleId="1301">
    <w:name w:val="Заголовок"/>
    <w:basedOn w:val="1276"/>
    <w:next w:val="1302"/>
    <w:link w:val="1276"/>
    <w:qFormat/>
    <w:pPr>
      <w:keepNext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1302">
    <w:name w:val="Основной текст"/>
    <w:basedOn w:val="1276"/>
    <w:next w:val="1302"/>
    <w:link w:val="1276"/>
    <w:pPr>
      <w:spacing w:before="0" w:after="140" w:line="276" w:lineRule="auto"/>
    </w:pPr>
  </w:style>
  <w:style w:type="paragraph" w:styleId="1303">
    <w:name w:val="Список"/>
    <w:basedOn w:val="1302"/>
    <w:next w:val="1303"/>
    <w:link w:val="1276"/>
    <w:rPr>
      <w:rFonts w:cs="Noto Sans"/>
    </w:rPr>
  </w:style>
  <w:style w:type="paragraph" w:styleId="1304">
    <w:name w:val="Название объекта"/>
    <w:basedOn w:val="1276"/>
    <w:next w:val="1304"/>
    <w:link w:val="1276"/>
    <w:qFormat/>
    <w:pPr>
      <w:spacing w:before="120" w:after="120"/>
      <w:suppressLineNumbers/>
    </w:pPr>
    <w:rPr>
      <w:rFonts w:cs="Noto Sans"/>
      <w:i/>
      <w:iCs/>
      <w:sz w:val="24"/>
      <w:szCs w:val="24"/>
    </w:rPr>
  </w:style>
  <w:style w:type="paragraph" w:styleId="1305">
    <w:name w:val="Указатель"/>
    <w:basedOn w:val="1276"/>
    <w:next w:val="1305"/>
    <w:link w:val="1276"/>
    <w:qFormat/>
    <w:pPr>
      <w:suppressLineNumbers/>
    </w:pPr>
    <w:rPr>
      <w:rFonts w:cs="Noto Sans"/>
    </w:rPr>
  </w:style>
  <w:style w:type="paragraph" w:styleId="1306">
    <w:name w:val="Колонтитул"/>
    <w:basedOn w:val="1276"/>
    <w:next w:val="1306"/>
    <w:link w:val="1276"/>
    <w:qFormat/>
  </w:style>
  <w:style w:type="paragraph" w:styleId="1307">
    <w:name w:val="Верхний колонтитул"/>
    <w:basedOn w:val="1276"/>
    <w:next w:val="1307"/>
    <w:link w:val="1283"/>
    <w:uiPriority w:val="99"/>
    <w:pPr>
      <w:tabs>
        <w:tab w:val="clear" w:pos="708" w:leader="none"/>
        <w:tab w:val="center" w:pos="4677" w:leader="none"/>
        <w:tab w:val="right" w:pos="9355" w:leader="none"/>
      </w:tabs>
    </w:pPr>
  </w:style>
  <w:style w:type="paragraph" w:styleId="1308">
    <w:name w:val="Нижний колонтитул"/>
    <w:basedOn w:val="1276"/>
    <w:next w:val="1308"/>
    <w:link w:val="1284"/>
    <w:uiPriority w:val="99"/>
    <w:pPr>
      <w:tabs>
        <w:tab w:val="clear" w:pos="708" w:leader="none"/>
        <w:tab w:val="center" w:pos="4677" w:leader="none"/>
        <w:tab w:val="right" w:pos="9355" w:leader="none"/>
      </w:tabs>
    </w:pPr>
  </w:style>
  <w:style w:type="paragraph" w:styleId="1309">
    <w:name w:val="Абзац списка"/>
    <w:basedOn w:val="1276"/>
    <w:next w:val="1309"/>
    <w:link w:val="1276"/>
    <w:qFormat/>
    <w:pPr>
      <w:ind w:left="720" w:right="0" w:firstLine="0"/>
      <w:spacing w:before="280" w:after="280"/>
    </w:pPr>
    <w:rPr>
      <w:rFonts w:eastAsia="Calibri"/>
    </w:rPr>
  </w:style>
  <w:style w:type="paragraph" w:styleId="1310">
    <w:name w:val="Default"/>
    <w:next w:val="1310"/>
    <w:link w:val="1276"/>
    <w:qFormat/>
    <w:rPr>
      <w:color w:val="000000"/>
      <w:sz w:val="24"/>
      <w:szCs w:val="24"/>
      <w:lang w:val="ru-RU" w:eastAsia="ru-RU" w:bidi="ar-SA"/>
    </w:rPr>
  </w:style>
  <w:style w:type="paragraph" w:styleId="1311">
    <w:name w:val="a9"/>
    <w:basedOn w:val="1276"/>
    <w:next w:val="1276"/>
    <w:link w:val="1276"/>
    <w:qFormat/>
    <w:pPr>
      <w:jc w:val="center"/>
      <w:spacing w:before="240" w:after="60"/>
      <w:outlineLvl w:val="0"/>
    </w:pPr>
    <w:rPr>
      <w:rFonts w:ascii="Calibri Light" w:hAnsi="Calibri Light"/>
      <w:b/>
      <w:bCs/>
      <w:sz w:val="32"/>
      <w:szCs w:val="32"/>
    </w:rPr>
  </w:style>
  <w:style w:type="paragraph" w:styleId="1312">
    <w:name w:val="Название"/>
    <w:basedOn w:val="1276"/>
    <w:next w:val="1276"/>
    <w:link w:val="1286"/>
    <w:qFormat/>
    <w:pPr>
      <w:contextualSpacing/>
      <w:spacing w:before="0" w:after="300"/>
      <w:pBdr>
        <w:bottom w:val="single" w:color="5B9BD5" w:sz="8" w:space="4"/>
      </w:pBdr>
    </w:pPr>
    <w:rPr>
      <w:rFonts w:ascii="Calibri Light" w:hAnsi="Calibri Light"/>
      <w:b/>
      <w:bCs/>
      <w:sz w:val="32"/>
      <w:szCs w:val="32"/>
    </w:rPr>
  </w:style>
  <w:style w:type="paragraph" w:styleId="1313">
    <w:name w:val="Текст выноски"/>
    <w:basedOn w:val="1276"/>
    <w:next w:val="1313"/>
    <w:link w:val="1289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1314">
    <w:name w:val="Пункт"/>
    <w:basedOn w:val="1276"/>
    <w:next w:val="1314"/>
    <w:link w:val="1276"/>
    <w:qFormat/>
    <w:pPr>
      <w:numPr>
        <w:ilvl w:val="2"/>
        <w:numId w:val="1"/>
      </w:numPr>
      <w:jc w:val="both"/>
      <w:spacing w:line="360" w:lineRule="auto"/>
    </w:pPr>
    <w:rPr>
      <w:sz w:val="28"/>
      <w:szCs w:val="20"/>
    </w:rPr>
  </w:style>
  <w:style w:type="paragraph" w:styleId="1315">
    <w:name w:val="Подпункт"/>
    <w:basedOn w:val="1314"/>
    <w:next w:val="1315"/>
    <w:link w:val="1276"/>
    <w:qFormat/>
  </w:style>
  <w:style w:type="paragraph" w:styleId="1316">
    <w:name w:val="Подподпункт"/>
    <w:basedOn w:val="1315"/>
    <w:next w:val="1316"/>
    <w:link w:val="1276"/>
    <w:qFormat/>
  </w:style>
  <w:style w:type="paragraph" w:styleId="1317">
    <w:name w:val="Нумерованный список"/>
    <w:basedOn w:val="1276"/>
    <w:next w:val="1317"/>
    <w:link w:val="1276"/>
    <w:pPr>
      <w:jc w:val="both"/>
      <w:spacing w:before="60" w:after="0" w:line="360" w:lineRule="auto"/>
    </w:pPr>
    <w:rPr>
      <w:sz w:val="28"/>
    </w:rPr>
  </w:style>
  <w:style w:type="paragraph" w:styleId="1318">
    <w:name w:val="Текст сноски"/>
    <w:basedOn w:val="1276"/>
    <w:next w:val="1318"/>
    <w:link w:val="1292"/>
    <w:semiHidden/>
    <w:unhideWhenUsed/>
    <w:rPr>
      <w:sz w:val="20"/>
      <w:szCs w:val="20"/>
    </w:rPr>
  </w:style>
  <w:style w:type="paragraph" w:styleId="1319">
    <w:name w:val="Содержимое врезки"/>
    <w:basedOn w:val="1276"/>
    <w:next w:val="1319"/>
    <w:link w:val="1276"/>
    <w:qFormat/>
  </w:style>
  <w:style w:type="numbering" w:styleId="1320">
    <w:name w:val="WW8Num21"/>
    <w:next w:val="1320"/>
    <w:link w:val="1276"/>
    <w:qFormat/>
  </w:style>
  <w:style w:type="numbering" w:styleId="1321">
    <w:name w:val="WW8Num3"/>
    <w:next w:val="1321"/>
    <w:link w:val="1276"/>
    <w:qFormat/>
  </w:style>
  <w:style w:type="numbering" w:styleId="1322">
    <w:name w:val="WW8Num37"/>
    <w:next w:val="1322"/>
    <w:link w:val="1276"/>
    <w:qFormat/>
  </w:style>
  <w:style w:type="numbering" w:styleId="1323">
    <w:name w:val="WW8Num38"/>
    <w:next w:val="1323"/>
    <w:link w:val="1276"/>
    <w:qFormat/>
  </w:style>
  <w:style w:type="character" w:styleId="1324" w:default="1">
    <w:name w:val="Default Paragraph Font"/>
    <w:uiPriority w:val="1"/>
    <w:semiHidden/>
    <w:unhideWhenUsed/>
  </w:style>
  <w:style w:type="numbering" w:styleId="1325" w:default="1">
    <w:name w:val="No List"/>
    <w:uiPriority w:val="99"/>
    <w:semiHidden/>
    <w:unhideWhenUsed/>
  </w:style>
  <w:style w:type="table" w:styleId="1326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Liberation Sans"/>
        <a:ea typeface="Liberation Sans"/>
        <a:cs typeface="Liberation Sans"/>
      </a:majorFont>
      <a:minorFont>
        <a:latin typeface="Liberation Sans"/>
        <a:ea typeface="Liberation Sans"/>
        <a:cs typeface="Liberation Sans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>TopS BI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user3</dc:creator>
  <dc:language>ru-RU</dc:language>
  <cp:lastModifiedBy>zinoveva-ev</cp:lastModifiedBy>
  <cp:revision>8</cp:revision>
  <dcterms:created xsi:type="dcterms:W3CDTF">2026-07-22T11:49:00Z</dcterms:created>
  <dcterms:modified xsi:type="dcterms:W3CDTF">2026-09-09T07:44:32Z</dcterms:modified>
  <cp:version>1048576</cp:version>
</cp:coreProperties>
</file>